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70" w:rsidRDefault="00811170" w:rsidP="00811170"/>
    <w:p w:rsidR="00811170" w:rsidRDefault="00811170" w:rsidP="00811170"/>
    <w:p w:rsidR="00811170" w:rsidRDefault="00811170" w:rsidP="00811170"/>
    <w:p w:rsidR="00811170" w:rsidRDefault="00811170" w:rsidP="00811170"/>
    <w:p w:rsidR="00811170" w:rsidRDefault="00811170" w:rsidP="00811170"/>
    <w:p w:rsidR="00811170" w:rsidRDefault="00811170" w:rsidP="00811170"/>
    <w:p w:rsidR="00811170" w:rsidRDefault="00811170" w:rsidP="00811170"/>
    <w:p w:rsidR="00811170" w:rsidRDefault="00811170" w:rsidP="00811170"/>
    <w:p w:rsidR="00811170" w:rsidRDefault="00811170" w:rsidP="00811170"/>
    <w:p w:rsidR="00811170" w:rsidRDefault="00811170" w:rsidP="00811170"/>
    <w:p w:rsidR="00811170" w:rsidRPr="006D2735" w:rsidRDefault="00811170" w:rsidP="00811170">
      <w:pPr>
        <w:pStyle w:val="Alcm1"/>
        <w:rPr>
          <w:sz w:val="28"/>
          <w:szCs w:val="28"/>
        </w:rPr>
      </w:pPr>
      <w:r w:rsidRPr="006D2735">
        <w:rPr>
          <w:sz w:val="28"/>
          <w:szCs w:val="28"/>
        </w:rPr>
        <w:t xml:space="preserve">MARKET NOTICE / </w:t>
      </w:r>
      <w:r w:rsidRPr="006D2735">
        <w:rPr>
          <w:i/>
          <w:sz w:val="28"/>
          <w:szCs w:val="28"/>
        </w:rPr>
        <w:t>PIACI HIRDETMÉNY</w:t>
      </w:r>
    </w:p>
    <w:p w:rsidR="00811170" w:rsidRPr="0006255B" w:rsidRDefault="00811170" w:rsidP="00811170">
      <w:pPr>
        <w:jc w:val="left"/>
        <w:rPr>
          <w:rStyle w:val="Kiemelsszrke"/>
          <w:color w:val="AA2454"/>
        </w:rPr>
      </w:pPr>
      <w:r w:rsidRPr="0006255B">
        <w:rPr>
          <w:rStyle w:val="Kiemelsszrke"/>
          <w:color w:val="AA2454"/>
        </w:rPr>
        <w:t xml:space="preserve">CEEGEX </w:t>
      </w:r>
      <w:proofErr w:type="spellStart"/>
      <w:r w:rsidRPr="0006255B">
        <w:rPr>
          <w:rStyle w:val="Kiemelsszrke"/>
          <w:color w:val="AA2454"/>
        </w:rPr>
        <w:t>Day-Ahead</w:t>
      </w:r>
      <w:proofErr w:type="spellEnd"/>
      <w:r w:rsidRPr="0006255B">
        <w:rPr>
          <w:rStyle w:val="Kiemelsszrke"/>
          <w:color w:val="AA2454"/>
        </w:rPr>
        <w:t xml:space="preserve"> (DAM) and </w:t>
      </w:r>
      <w:proofErr w:type="spellStart"/>
      <w:r w:rsidRPr="0006255B">
        <w:rPr>
          <w:rStyle w:val="Kiemelsszrke"/>
          <w:color w:val="AA2454"/>
        </w:rPr>
        <w:t>Physical</w:t>
      </w:r>
      <w:proofErr w:type="spellEnd"/>
      <w:r w:rsidRPr="0006255B">
        <w:rPr>
          <w:rStyle w:val="Kiemelsszrke"/>
          <w:color w:val="AA2454"/>
        </w:rPr>
        <w:t xml:space="preserve"> </w:t>
      </w:r>
      <w:proofErr w:type="spellStart"/>
      <w:r w:rsidRPr="0006255B">
        <w:rPr>
          <w:rStyle w:val="Kiemelsszrke"/>
          <w:color w:val="AA2454"/>
        </w:rPr>
        <w:t>Futures</w:t>
      </w:r>
      <w:proofErr w:type="spellEnd"/>
      <w:r w:rsidRPr="0006255B">
        <w:rPr>
          <w:rStyle w:val="Kiemelsszrke"/>
          <w:color w:val="AA2454"/>
        </w:rPr>
        <w:t xml:space="preserve"> (</w:t>
      </w:r>
      <w:proofErr w:type="spellStart"/>
      <w:r w:rsidRPr="0006255B">
        <w:rPr>
          <w:rStyle w:val="Kiemelsszrke"/>
          <w:color w:val="AA2454"/>
        </w:rPr>
        <w:t>PhF</w:t>
      </w:r>
      <w:proofErr w:type="spellEnd"/>
      <w:r w:rsidRPr="0006255B">
        <w:rPr>
          <w:rStyle w:val="Kiemelsszrke"/>
          <w:color w:val="AA2454"/>
        </w:rPr>
        <w:t xml:space="preserve">) </w:t>
      </w:r>
      <w:proofErr w:type="spellStart"/>
      <w:r w:rsidRPr="0006255B">
        <w:rPr>
          <w:rStyle w:val="Kiemelsszrke"/>
          <w:color w:val="AA2454"/>
        </w:rPr>
        <w:t>Markets</w:t>
      </w:r>
      <w:proofErr w:type="spellEnd"/>
      <w:r w:rsidRPr="0006255B">
        <w:rPr>
          <w:rStyle w:val="Kiemelsszrke"/>
          <w:color w:val="AA2454"/>
        </w:rPr>
        <w:t xml:space="preserve"> /</w:t>
      </w:r>
    </w:p>
    <w:p w:rsidR="00811170" w:rsidRPr="00A80428" w:rsidRDefault="00811170" w:rsidP="00811170">
      <w:pPr>
        <w:jc w:val="left"/>
        <w:rPr>
          <w:rStyle w:val="Kiemelsszrke"/>
          <w:i/>
        </w:rPr>
      </w:pPr>
      <w:r w:rsidRPr="00A80428">
        <w:rPr>
          <w:rStyle w:val="Kiemelsszrke"/>
          <w:i/>
        </w:rPr>
        <w:t xml:space="preserve">CEEGEX Másnapi (DAM) és </w:t>
      </w:r>
      <w:proofErr w:type="spellStart"/>
      <w:r w:rsidRPr="00477B93">
        <w:rPr>
          <w:rStyle w:val="Kiemelsszrke"/>
          <w:i/>
        </w:rPr>
        <w:t>Hosszútávú</w:t>
      </w:r>
      <w:proofErr w:type="spellEnd"/>
      <w:r w:rsidRPr="00477B93">
        <w:rPr>
          <w:rStyle w:val="Kiemelsszrke"/>
          <w:i/>
        </w:rPr>
        <w:t xml:space="preserve"> Fizikai Szállítású </w:t>
      </w:r>
      <w:r w:rsidRPr="00A80428">
        <w:rPr>
          <w:rStyle w:val="Kiemelsszrke"/>
          <w:i/>
        </w:rPr>
        <w:t>(</w:t>
      </w:r>
      <w:proofErr w:type="spellStart"/>
      <w:r w:rsidRPr="00A80428">
        <w:rPr>
          <w:rStyle w:val="Kiemelsszrke"/>
          <w:i/>
        </w:rPr>
        <w:t>PhF</w:t>
      </w:r>
      <w:proofErr w:type="spellEnd"/>
      <w:r w:rsidRPr="00A80428">
        <w:rPr>
          <w:rStyle w:val="Kiemelsszrke"/>
          <w:i/>
        </w:rPr>
        <w:t>) Piacai</w:t>
      </w:r>
    </w:p>
    <w:p w:rsidR="00811170" w:rsidRPr="00437F6F" w:rsidRDefault="00811170" w:rsidP="00811170">
      <w:pPr>
        <w:rPr>
          <w:i/>
        </w:rPr>
      </w:pPr>
    </w:p>
    <w:p w:rsidR="00811170" w:rsidRDefault="00811170" w:rsidP="00811170"/>
    <w:p w:rsidR="00811170" w:rsidRDefault="00811170" w:rsidP="00811170"/>
    <w:p w:rsidR="00811170" w:rsidRDefault="00811170" w:rsidP="00811170"/>
    <w:p w:rsidR="00811170" w:rsidRDefault="00811170" w:rsidP="00811170"/>
    <w:p w:rsidR="00811170" w:rsidRDefault="00811170" w:rsidP="00811170"/>
    <w:p w:rsidR="00811170" w:rsidRDefault="00811170" w:rsidP="00811170"/>
    <w:p w:rsidR="00811170" w:rsidRDefault="00811170" w:rsidP="00811170"/>
    <w:p w:rsidR="00811170" w:rsidRDefault="00811170" w:rsidP="00811170"/>
    <w:p w:rsidR="00811170" w:rsidRDefault="00811170" w:rsidP="00811170"/>
    <w:p w:rsidR="00811170" w:rsidRDefault="00811170" w:rsidP="00811170"/>
    <w:p w:rsidR="00811170" w:rsidRDefault="00811170" w:rsidP="00811170"/>
    <w:p w:rsidR="00811170" w:rsidRDefault="00811170" w:rsidP="00811170"/>
    <w:p w:rsidR="00811170" w:rsidRDefault="00811170" w:rsidP="00811170"/>
    <w:p w:rsidR="00811170" w:rsidRPr="000F7930" w:rsidRDefault="00811170" w:rsidP="00811170"/>
    <w:p w:rsidR="00811170" w:rsidRPr="000F7930" w:rsidRDefault="00811170" w:rsidP="00811170">
      <w:pPr>
        <w:tabs>
          <w:tab w:val="left" w:pos="2835"/>
        </w:tabs>
        <w:rPr>
          <w:rStyle w:val="Kiemelsszrke"/>
        </w:rPr>
      </w:pPr>
      <w:proofErr w:type="spellStart"/>
      <w:r w:rsidRPr="000F7930">
        <w:rPr>
          <w:rStyle w:val="Kiemelsbordbold"/>
        </w:rPr>
        <w:t>Notice</w:t>
      </w:r>
      <w:proofErr w:type="spellEnd"/>
      <w:r w:rsidRPr="000F7930">
        <w:rPr>
          <w:rStyle w:val="Kiemelsbordbold"/>
        </w:rPr>
        <w:t xml:space="preserve"> # /</w:t>
      </w:r>
      <w:r>
        <w:rPr>
          <w:rStyle w:val="Kiemelsbordbold"/>
        </w:rPr>
        <w:t xml:space="preserve"> </w:t>
      </w:r>
      <w:r w:rsidRPr="000F7930">
        <w:rPr>
          <w:rStyle w:val="Kiemelsbordbold"/>
        </w:rPr>
        <w:t>Iktatási szám</w:t>
      </w:r>
      <w:proofErr w:type="gramStart"/>
      <w:r w:rsidRPr="000F7930">
        <w:rPr>
          <w:rStyle w:val="Kiemelsbordbold"/>
        </w:rPr>
        <w:t>:</w:t>
      </w:r>
      <w:r w:rsidRPr="000F7930">
        <w:rPr>
          <w:rStyle w:val="Kiemelsbord"/>
        </w:rPr>
        <w:t xml:space="preserve">  </w:t>
      </w:r>
      <w:r w:rsidRPr="000F7930">
        <w:rPr>
          <w:rStyle w:val="Kiemelsbord"/>
        </w:rPr>
        <w:tab/>
      </w:r>
      <w:r w:rsidR="003D3C04" w:rsidRPr="003D3C04">
        <w:rPr>
          <w:rStyle w:val="Kiemelsszrke"/>
        </w:rPr>
        <w:t>CX-MN-2014-0008</w:t>
      </w:r>
      <w:proofErr w:type="gramEnd"/>
    </w:p>
    <w:p w:rsidR="00811170" w:rsidRPr="000F7930" w:rsidRDefault="00811170" w:rsidP="00811170">
      <w:pPr>
        <w:tabs>
          <w:tab w:val="left" w:pos="2835"/>
        </w:tabs>
        <w:rPr>
          <w:rStyle w:val="Kiemelsszrke"/>
        </w:rPr>
      </w:pPr>
      <w:r>
        <w:rPr>
          <w:rStyle w:val="Kiemelsbordbold"/>
        </w:rPr>
        <w:t>Of</w:t>
      </w:r>
      <w:r w:rsidRPr="000F7930">
        <w:rPr>
          <w:rStyle w:val="Kiemelsbordbold"/>
        </w:rPr>
        <w:t xml:space="preserve"> / Dátum</w:t>
      </w:r>
      <w:r>
        <w:rPr>
          <w:rStyle w:val="Kiemelsbordbold"/>
        </w:rPr>
        <w:t>:</w:t>
      </w:r>
      <w:r w:rsidRPr="000F7930">
        <w:rPr>
          <w:rStyle w:val="Kiemelsbord"/>
        </w:rPr>
        <w:tab/>
      </w:r>
      <w:r w:rsidR="003D3C04" w:rsidRPr="003D3C04">
        <w:t>15</w:t>
      </w:r>
      <w:r w:rsidR="00044D40" w:rsidRPr="003D3C04">
        <w:t>/</w:t>
      </w:r>
      <w:r w:rsidR="003D3C04" w:rsidRPr="003D3C04">
        <w:t>12</w:t>
      </w:r>
      <w:r w:rsidR="00044D40" w:rsidRPr="003D3C04">
        <w:t>/</w:t>
      </w:r>
      <w:r w:rsidR="00044D40" w:rsidRPr="00D93EFA">
        <w:t>2014</w:t>
      </w:r>
    </w:p>
    <w:p w:rsidR="00811170" w:rsidRPr="000F7930" w:rsidRDefault="00811170" w:rsidP="00811170">
      <w:pPr>
        <w:tabs>
          <w:tab w:val="left" w:pos="2835"/>
        </w:tabs>
        <w:rPr>
          <w:rStyle w:val="Kiemelsszrke"/>
        </w:rPr>
      </w:pPr>
      <w:proofErr w:type="spellStart"/>
      <w:r w:rsidRPr="000F7930">
        <w:rPr>
          <w:rStyle w:val="Kiemelsbordbold"/>
        </w:rPr>
        <w:t>Subject</w:t>
      </w:r>
      <w:proofErr w:type="spellEnd"/>
      <w:r w:rsidRPr="000F7930">
        <w:rPr>
          <w:rStyle w:val="Kiemelsbordbold"/>
        </w:rPr>
        <w:t xml:space="preserve"> /</w:t>
      </w:r>
      <w:r>
        <w:rPr>
          <w:rStyle w:val="Kiemelsbordbold"/>
        </w:rPr>
        <w:t xml:space="preserve"> </w:t>
      </w:r>
      <w:r w:rsidRPr="000F7930">
        <w:rPr>
          <w:rStyle w:val="Kiemelsbordbold"/>
        </w:rPr>
        <w:t>Tárgy:</w:t>
      </w:r>
      <w:r w:rsidRPr="000F7930">
        <w:rPr>
          <w:rStyle w:val="Kiemelsbord"/>
        </w:rPr>
        <w:tab/>
      </w:r>
      <w:r w:rsidRPr="006F6617">
        <w:rPr>
          <w:rStyle w:val="Kiemelsbord"/>
          <w:color w:val="auto"/>
          <w:lang w:val="en-US"/>
        </w:rPr>
        <w:t>Official t</w:t>
      </w:r>
      <w:r w:rsidRPr="003D3C04">
        <w:rPr>
          <w:rStyle w:val="Kiemelsbord"/>
          <w:color w:val="auto"/>
        </w:rPr>
        <w:t>rading calendar</w:t>
      </w:r>
      <w:r w:rsidRPr="003D3C04">
        <w:rPr>
          <w:rStyle w:val="Kiemelsbord"/>
          <w:color w:val="auto"/>
          <w:lang w:val="en-US"/>
        </w:rPr>
        <w:t xml:space="preserve"> 201</w:t>
      </w:r>
      <w:r w:rsidR="00044D40" w:rsidRPr="003D3C04">
        <w:rPr>
          <w:rStyle w:val="Kiemelsbord"/>
          <w:color w:val="auto"/>
          <w:lang w:val="en-US"/>
        </w:rPr>
        <w:t>5</w:t>
      </w:r>
      <w:r w:rsidRPr="003D3C04">
        <w:rPr>
          <w:rStyle w:val="Kiemelsbord"/>
          <w:color w:val="auto"/>
          <w:lang w:val="en-US"/>
        </w:rPr>
        <w:t>/</w:t>
      </w:r>
      <w:r w:rsidRPr="000F7930">
        <w:rPr>
          <w:rStyle w:val="Kiemelsszrke"/>
        </w:rPr>
        <w:t xml:space="preserve"> </w:t>
      </w:r>
    </w:p>
    <w:p w:rsidR="00811170" w:rsidRDefault="00811170" w:rsidP="00811170">
      <w:pPr>
        <w:tabs>
          <w:tab w:val="left" w:pos="2835"/>
        </w:tabs>
        <w:rPr>
          <w:noProof/>
          <w:lang w:eastAsia="hu-HU"/>
        </w:rPr>
      </w:pPr>
      <w:r w:rsidRPr="009E01EE">
        <w:rPr>
          <w:rStyle w:val="Finomkiemels"/>
        </w:rPr>
        <w:tab/>
      </w:r>
      <w:r>
        <w:rPr>
          <w:rStyle w:val="Finomkiemels"/>
        </w:rPr>
        <w:t>Kereskedési naptár a 201</w:t>
      </w:r>
      <w:r w:rsidR="00044D40">
        <w:rPr>
          <w:rStyle w:val="Finomkiemels"/>
        </w:rPr>
        <w:t>5</w:t>
      </w:r>
      <w:r>
        <w:rPr>
          <w:rStyle w:val="Finomkiemels"/>
        </w:rPr>
        <w:t>-es naptári évre</w:t>
      </w:r>
    </w:p>
    <w:p w:rsidR="00811170" w:rsidRDefault="00811170" w:rsidP="00811170">
      <w:pPr>
        <w:spacing w:after="200" w:line="276" w:lineRule="auto"/>
        <w:jc w:val="left"/>
        <w:rPr>
          <w:noProof/>
          <w:lang w:eastAsia="hu-HU"/>
        </w:rPr>
      </w:pPr>
    </w:p>
    <w:p w:rsidR="00811170" w:rsidRDefault="00811170" w:rsidP="00811170">
      <w:pPr>
        <w:spacing w:after="200" w:line="276" w:lineRule="auto"/>
        <w:jc w:val="left"/>
        <w:rPr>
          <w:noProof/>
          <w:lang w:eastAsia="hu-HU"/>
        </w:rPr>
      </w:pPr>
    </w:p>
    <w:p w:rsidR="00811170" w:rsidRDefault="00811170" w:rsidP="00811170">
      <w:pPr>
        <w:jc w:val="center"/>
        <w:rPr>
          <w:b/>
          <w:color w:val="AA2454"/>
          <w:sz w:val="28"/>
          <w:szCs w:val="28"/>
        </w:rPr>
      </w:pPr>
      <w:proofErr w:type="spellStart"/>
      <w:r w:rsidRPr="0006255B">
        <w:rPr>
          <w:b/>
          <w:color w:val="AA2454"/>
          <w:sz w:val="28"/>
          <w:szCs w:val="28"/>
        </w:rPr>
        <w:lastRenderedPageBreak/>
        <w:t>Trading</w:t>
      </w:r>
      <w:proofErr w:type="spellEnd"/>
      <w:r w:rsidRPr="0006255B">
        <w:rPr>
          <w:b/>
          <w:color w:val="AA2454"/>
          <w:sz w:val="28"/>
          <w:szCs w:val="28"/>
        </w:rPr>
        <w:t xml:space="preserve"> </w:t>
      </w:r>
      <w:proofErr w:type="spellStart"/>
      <w:r w:rsidRPr="0006255B">
        <w:rPr>
          <w:b/>
          <w:color w:val="AA2454"/>
          <w:sz w:val="28"/>
          <w:szCs w:val="28"/>
        </w:rPr>
        <w:t>Calendar</w:t>
      </w:r>
      <w:proofErr w:type="spellEnd"/>
      <w:r w:rsidRPr="0006255B">
        <w:rPr>
          <w:b/>
          <w:color w:val="AA2454"/>
          <w:sz w:val="28"/>
          <w:szCs w:val="28"/>
        </w:rPr>
        <w:t xml:space="preserve"> / Kereskedési naptár</w:t>
      </w:r>
    </w:p>
    <w:p w:rsidR="00811170" w:rsidRPr="0006255B" w:rsidRDefault="00811170" w:rsidP="00811170">
      <w:pPr>
        <w:jc w:val="center"/>
        <w:rPr>
          <w:b/>
          <w:color w:val="AA2454"/>
          <w:sz w:val="28"/>
          <w:szCs w:val="28"/>
        </w:rPr>
      </w:pPr>
    </w:p>
    <w:p w:rsidR="00811170" w:rsidRPr="0006255B" w:rsidRDefault="00811170" w:rsidP="00811170">
      <w:pPr>
        <w:rPr>
          <w:lang w:val="en-US"/>
        </w:rPr>
      </w:pPr>
      <w:r w:rsidRPr="0006255B">
        <w:rPr>
          <w:lang w:val="en-US"/>
        </w:rPr>
        <w:t>CEEGEX operates the Day-Ahead (DAM) and Physical Futures (</w:t>
      </w:r>
      <w:proofErr w:type="spellStart"/>
      <w:r w:rsidRPr="0006255B">
        <w:rPr>
          <w:lang w:val="en-US"/>
        </w:rPr>
        <w:t>PhF</w:t>
      </w:r>
      <w:proofErr w:type="spellEnd"/>
      <w:r w:rsidRPr="0006255B">
        <w:rPr>
          <w:lang w:val="en-US"/>
        </w:rPr>
        <w:t>) market and OTC clearing facility on all Business Days, as specified in the</w:t>
      </w:r>
      <w:r w:rsidR="00044D40">
        <w:rPr>
          <w:lang w:val="en-US"/>
        </w:rPr>
        <w:t xml:space="preserve"> below Trading Calendar for 2015</w:t>
      </w:r>
      <w:r w:rsidRPr="0006255B">
        <w:rPr>
          <w:lang w:val="en-US"/>
        </w:rPr>
        <w:t>. The exact trading hours are indicated in the respective Market Notice and as published on the official website of CEEGEX Ltd.</w:t>
      </w:r>
    </w:p>
    <w:p w:rsidR="00811170" w:rsidRPr="0006255B" w:rsidRDefault="00811170" w:rsidP="00811170">
      <w:pPr>
        <w:rPr>
          <w:lang w:val="en-US"/>
        </w:rPr>
      </w:pPr>
      <w:r w:rsidRPr="0006255B">
        <w:rPr>
          <w:lang w:val="en-US"/>
        </w:rPr>
        <w:t>It should be noted that the last trading day of a contract series takes place with 2 trading days (according to the below calendar) before start of the delivery period for monthly contracts, and 3 trading days (according to the below calendar) for quarterly and yearly contacts.</w:t>
      </w:r>
    </w:p>
    <w:p w:rsidR="00811170" w:rsidRDefault="00811170" w:rsidP="00811170"/>
    <w:p w:rsidR="00811170" w:rsidRPr="0006255B" w:rsidRDefault="00811170" w:rsidP="00811170">
      <w:pPr>
        <w:rPr>
          <w:i/>
          <w:color w:val="808080" w:themeColor="background1" w:themeShade="80"/>
        </w:rPr>
      </w:pPr>
      <w:r w:rsidRPr="0006255B">
        <w:rPr>
          <w:i/>
          <w:color w:val="808080" w:themeColor="background1" w:themeShade="80"/>
        </w:rPr>
        <w:t xml:space="preserve">A CEEGEX Másnapi és </w:t>
      </w:r>
      <w:proofErr w:type="spellStart"/>
      <w:r w:rsidRPr="00477B93">
        <w:rPr>
          <w:i/>
          <w:color w:val="808080" w:themeColor="background1" w:themeShade="80"/>
        </w:rPr>
        <w:t>Hosszútávú</w:t>
      </w:r>
      <w:proofErr w:type="spellEnd"/>
      <w:r w:rsidRPr="00477B93">
        <w:rPr>
          <w:i/>
          <w:color w:val="808080" w:themeColor="background1" w:themeShade="80"/>
        </w:rPr>
        <w:t xml:space="preserve"> Fizikai Szállítású </w:t>
      </w:r>
      <w:r w:rsidRPr="0006255B">
        <w:rPr>
          <w:i/>
          <w:color w:val="808080" w:themeColor="background1" w:themeShade="80"/>
        </w:rPr>
        <w:t>ügyletek piacát és az OTC klíringszolgáltatást minden üzleti napon az alábbi kereskedési</w:t>
      </w:r>
      <w:r>
        <w:rPr>
          <w:i/>
          <w:color w:val="808080" w:themeColor="background1" w:themeShade="80"/>
        </w:rPr>
        <w:t xml:space="preserve"> naptár alapján működteti a </w:t>
      </w:r>
      <w:bookmarkStart w:id="0" w:name="_GoBack"/>
      <w:r>
        <w:rPr>
          <w:i/>
          <w:color w:val="808080" w:themeColor="background1" w:themeShade="80"/>
        </w:rPr>
        <w:t>201</w:t>
      </w:r>
      <w:r w:rsidR="00044D40">
        <w:rPr>
          <w:i/>
          <w:color w:val="808080" w:themeColor="background1" w:themeShade="80"/>
        </w:rPr>
        <w:t>5</w:t>
      </w:r>
      <w:r w:rsidRPr="0006255B">
        <w:rPr>
          <w:i/>
          <w:color w:val="808080" w:themeColor="background1" w:themeShade="80"/>
        </w:rPr>
        <w:t>. évre.</w:t>
      </w:r>
      <w:bookmarkEnd w:id="0"/>
      <w:r w:rsidRPr="0006255B">
        <w:rPr>
          <w:i/>
          <w:color w:val="808080" w:themeColor="background1" w:themeShade="80"/>
        </w:rPr>
        <w:t xml:space="preserve"> Az egyes üzleti napok kereskedési órái a vonatkozó Piaci Hirdetményben és a CEEGEX </w:t>
      </w:r>
      <w:proofErr w:type="spellStart"/>
      <w:r w:rsidRPr="0006255B">
        <w:rPr>
          <w:i/>
          <w:color w:val="808080" w:themeColor="background1" w:themeShade="80"/>
        </w:rPr>
        <w:t>Zrt</w:t>
      </w:r>
      <w:proofErr w:type="spellEnd"/>
      <w:r w:rsidRPr="0006255B">
        <w:rPr>
          <w:i/>
          <w:color w:val="808080" w:themeColor="background1" w:themeShade="80"/>
        </w:rPr>
        <w:t>. hivatalos weboldalán kerülnek meghatározásra.</w:t>
      </w:r>
    </w:p>
    <w:p w:rsidR="00811170" w:rsidRPr="0006255B" w:rsidRDefault="00811170" w:rsidP="00811170">
      <w:pPr>
        <w:rPr>
          <w:i/>
          <w:color w:val="808080" w:themeColor="background1" w:themeShade="80"/>
        </w:rPr>
      </w:pPr>
      <w:r w:rsidRPr="0006255B">
        <w:rPr>
          <w:i/>
          <w:color w:val="808080" w:themeColor="background1" w:themeShade="80"/>
        </w:rPr>
        <w:t>Felhívjuk a figyelmet arra, hogy egy ügylet sorozat utolsó kereskedési napja a szállítási időszak kezdetét (az alábbi naptár szerinti) 2 kereskedési nappal megelőző napra esik havi termékek esetén, és (az alábbi naptár szerinti) 3 kereskedési nappal megelőző napra esik negyedéves és éves termékek esetén.</w:t>
      </w:r>
    </w:p>
    <w:p w:rsidR="00811170" w:rsidRDefault="00811170" w:rsidP="00811170">
      <w:pPr>
        <w:spacing w:after="200" w:line="276" w:lineRule="auto"/>
        <w:jc w:val="left"/>
      </w:pPr>
    </w:p>
    <w:p w:rsidR="00811170" w:rsidRDefault="00811170" w:rsidP="00811170">
      <w:pPr>
        <w:spacing w:after="200" w:line="276" w:lineRule="auto"/>
        <w:jc w:val="left"/>
      </w:pPr>
      <w:r>
        <w:br w:type="page"/>
      </w:r>
    </w:p>
    <w:p w:rsidR="00BE34F5" w:rsidRDefault="00BE34F5" w:rsidP="00BE34F5"/>
    <w:p w:rsidR="0084320C" w:rsidRDefault="00BE34F5" w:rsidP="00BE34F5">
      <w:r w:rsidRPr="00BE34F5">
        <w:rPr>
          <w:noProof/>
          <w:lang w:eastAsia="hu-HU"/>
        </w:rPr>
        <w:drawing>
          <wp:inline distT="0" distB="0" distL="0" distR="0" wp14:anchorId="4349B4B1" wp14:editId="7DA5D18C">
            <wp:extent cx="5760720" cy="381333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20C" w:rsidSect="00BE34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DF" w:rsidRDefault="00D10DDF">
      <w:pPr>
        <w:spacing w:after="0" w:line="240" w:lineRule="auto"/>
      </w:pPr>
      <w:r>
        <w:separator/>
      </w:r>
    </w:p>
  </w:endnote>
  <w:endnote w:type="continuationSeparator" w:id="0">
    <w:p w:rsidR="00D10DDF" w:rsidRDefault="00D1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DF" w:rsidRDefault="00D10DDF" w:rsidP="00BE34F5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BCA90BE" wp14:editId="551FCB3F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  <w:r w:rsidRPr="00A85B30">
      <w:rPr>
        <w:color w:val="BFBFBF" w:themeColor="background1" w:themeShade="BF"/>
      </w:rPr>
      <w:t xml:space="preserve">Market </w:t>
    </w:r>
    <w:proofErr w:type="spellStart"/>
    <w:r w:rsidRPr="00A85B30">
      <w:rPr>
        <w:color w:val="BFBFBF" w:themeColor="background1" w:themeShade="BF"/>
      </w:rPr>
      <w:t>Notice</w:t>
    </w:r>
    <w:proofErr w:type="spellEnd"/>
    <w:r w:rsidRPr="00A85B30">
      <w:rPr>
        <w:color w:val="BFBFBF" w:themeColor="background1" w:themeShade="BF"/>
      </w:rPr>
      <w:t xml:space="preserve"> / Piaci Hirdetmény</w:t>
    </w:r>
    <w:r>
      <w:tab/>
    </w:r>
    <w:sdt>
      <w:sdtPr>
        <w:id w:val="64470862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DF" w:rsidRDefault="00D10DDF">
      <w:pPr>
        <w:spacing w:after="0" w:line="240" w:lineRule="auto"/>
      </w:pPr>
      <w:r>
        <w:separator/>
      </w:r>
    </w:p>
  </w:footnote>
  <w:footnote w:type="continuationSeparator" w:id="0">
    <w:p w:rsidR="00D10DDF" w:rsidRDefault="00D1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DF" w:rsidRDefault="00D10DD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9124835" wp14:editId="1D68C2FE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23" name="Kép 23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570D446B" wp14:editId="330694EA">
          <wp:extent cx="2047308" cy="519559"/>
          <wp:effectExtent l="19050" t="0" r="0" b="0"/>
          <wp:docPr id="24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0DDF" w:rsidRDefault="00D10D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70"/>
    <w:rsid w:val="00044D40"/>
    <w:rsid w:val="003D3C04"/>
    <w:rsid w:val="00811170"/>
    <w:rsid w:val="0084320C"/>
    <w:rsid w:val="00A67285"/>
    <w:rsid w:val="00BE34F5"/>
    <w:rsid w:val="00D10DDF"/>
    <w:rsid w:val="00D93EFA"/>
    <w:rsid w:val="00E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1170"/>
    <w:pPr>
      <w:spacing w:after="120" w:line="252" w:lineRule="auto"/>
      <w:jc w:val="both"/>
    </w:pPr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170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81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170"/>
    <w:rPr>
      <w:rFonts w:ascii="Arial" w:hAnsi="Arial"/>
    </w:rPr>
  </w:style>
  <w:style w:type="character" w:customStyle="1" w:styleId="Kiemelsbord">
    <w:name w:val="Kiemelés bordó"/>
    <w:basedOn w:val="Bekezdsalapbettpusa"/>
    <w:uiPriority w:val="1"/>
    <w:qFormat/>
    <w:rsid w:val="00811170"/>
    <w:rPr>
      <w:rFonts w:ascii="Arial" w:hAnsi="Arial"/>
      <w:color w:val="AA2454"/>
      <w:sz w:val="22"/>
    </w:rPr>
  </w:style>
  <w:style w:type="character" w:customStyle="1" w:styleId="Kiemelsbordbold">
    <w:name w:val="Kiemelés bordó+bold"/>
    <w:basedOn w:val="Kiemelsbord"/>
    <w:uiPriority w:val="1"/>
    <w:qFormat/>
    <w:rsid w:val="00811170"/>
    <w:rPr>
      <w:rFonts w:ascii="Arial" w:hAnsi="Arial"/>
      <w:b/>
      <w:color w:val="AA2454"/>
      <w:sz w:val="22"/>
    </w:rPr>
  </w:style>
  <w:style w:type="paragraph" w:customStyle="1" w:styleId="Alcm1">
    <w:name w:val="Alcím1"/>
    <w:basedOn w:val="Norml"/>
    <w:qFormat/>
    <w:rsid w:val="00811170"/>
    <w:rPr>
      <w:b/>
      <w:color w:val="AA2454"/>
      <w:sz w:val="26"/>
    </w:rPr>
  </w:style>
  <w:style w:type="character" w:customStyle="1" w:styleId="Kiemelsszrke">
    <w:name w:val="Kiemelés szürke"/>
    <w:basedOn w:val="Bekezdsalapbettpusa"/>
    <w:uiPriority w:val="1"/>
    <w:qFormat/>
    <w:rsid w:val="00811170"/>
    <w:rPr>
      <w:rFonts w:ascii="Arial" w:hAnsi="Arial"/>
      <w:color w:val="5E5E5E"/>
      <w:sz w:val="22"/>
    </w:rPr>
  </w:style>
  <w:style w:type="character" w:styleId="Finomkiemels">
    <w:name w:val="Subtle Emphasis"/>
    <w:basedOn w:val="Bekezdsalapbettpusa"/>
    <w:uiPriority w:val="19"/>
    <w:qFormat/>
    <w:rsid w:val="00811170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1170"/>
    <w:pPr>
      <w:spacing w:after="120" w:line="252" w:lineRule="auto"/>
      <w:jc w:val="both"/>
    </w:pPr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170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81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170"/>
    <w:rPr>
      <w:rFonts w:ascii="Arial" w:hAnsi="Arial"/>
    </w:rPr>
  </w:style>
  <w:style w:type="character" w:customStyle="1" w:styleId="Kiemelsbord">
    <w:name w:val="Kiemelés bordó"/>
    <w:basedOn w:val="Bekezdsalapbettpusa"/>
    <w:uiPriority w:val="1"/>
    <w:qFormat/>
    <w:rsid w:val="00811170"/>
    <w:rPr>
      <w:rFonts w:ascii="Arial" w:hAnsi="Arial"/>
      <w:color w:val="AA2454"/>
      <w:sz w:val="22"/>
    </w:rPr>
  </w:style>
  <w:style w:type="character" w:customStyle="1" w:styleId="Kiemelsbordbold">
    <w:name w:val="Kiemelés bordó+bold"/>
    <w:basedOn w:val="Kiemelsbord"/>
    <w:uiPriority w:val="1"/>
    <w:qFormat/>
    <w:rsid w:val="00811170"/>
    <w:rPr>
      <w:rFonts w:ascii="Arial" w:hAnsi="Arial"/>
      <w:b/>
      <w:color w:val="AA2454"/>
      <w:sz w:val="22"/>
    </w:rPr>
  </w:style>
  <w:style w:type="paragraph" w:customStyle="1" w:styleId="Alcm1">
    <w:name w:val="Alcím1"/>
    <w:basedOn w:val="Norml"/>
    <w:qFormat/>
    <w:rsid w:val="00811170"/>
    <w:rPr>
      <w:b/>
      <w:color w:val="AA2454"/>
      <w:sz w:val="26"/>
    </w:rPr>
  </w:style>
  <w:style w:type="character" w:customStyle="1" w:styleId="Kiemelsszrke">
    <w:name w:val="Kiemelés szürke"/>
    <w:basedOn w:val="Bekezdsalapbettpusa"/>
    <w:uiPriority w:val="1"/>
    <w:qFormat/>
    <w:rsid w:val="00811170"/>
    <w:rPr>
      <w:rFonts w:ascii="Arial" w:hAnsi="Arial"/>
      <w:color w:val="5E5E5E"/>
      <w:sz w:val="22"/>
    </w:rPr>
  </w:style>
  <w:style w:type="character" w:styleId="Finomkiemels">
    <w:name w:val="Subtle Emphasis"/>
    <w:basedOn w:val="Bekezdsalapbettpusa"/>
    <w:uiPriority w:val="19"/>
    <w:qFormat/>
    <w:rsid w:val="00811170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Várszegi Zsófia</dc:creator>
  <cp:lastModifiedBy>Várszegi Zsófia</cp:lastModifiedBy>
  <cp:revision>6</cp:revision>
  <cp:lastPrinted>2014-12-13T09:58:00Z</cp:lastPrinted>
  <dcterms:created xsi:type="dcterms:W3CDTF">2014-11-14T13:04:00Z</dcterms:created>
  <dcterms:modified xsi:type="dcterms:W3CDTF">2014-12-13T11:52:00Z</dcterms:modified>
</cp:coreProperties>
</file>