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Pr="006D2735" w:rsidRDefault="000F7930" w:rsidP="00B84E07">
      <w:pPr>
        <w:pStyle w:val="Alcm1"/>
        <w:rPr>
          <w:sz w:val="28"/>
          <w:szCs w:val="28"/>
        </w:rPr>
      </w:pPr>
      <w:r w:rsidRPr="006D2735">
        <w:rPr>
          <w:sz w:val="28"/>
          <w:szCs w:val="28"/>
        </w:rPr>
        <w:t xml:space="preserve">MARKET NOTICE </w:t>
      </w:r>
      <w:r w:rsidR="00B84E07" w:rsidRPr="006D2735">
        <w:rPr>
          <w:sz w:val="28"/>
          <w:szCs w:val="28"/>
        </w:rPr>
        <w:t xml:space="preserve">/ </w:t>
      </w:r>
      <w:r w:rsidRPr="006D2735">
        <w:rPr>
          <w:i/>
          <w:sz w:val="28"/>
          <w:szCs w:val="28"/>
        </w:rPr>
        <w:t>PIACI HIRDETMÉNY</w:t>
      </w:r>
    </w:p>
    <w:p w:rsidR="00A80428" w:rsidRDefault="00437F6F" w:rsidP="00437F6F">
      <w:pPr>
        <w:jc w:val="left"/>
        <w:rPr>
          <w:rStyle w:val="Kiemelsszrke"/>
        </w:rPr>
      </w:pPr>
      <w:r w:rsidRPr="00721BCD">
        <w:rPr>
          <w:rStyle w:val="Kiemelsszrke"/>
          <w:color w:val="auto"/>
        </w:rPr>
        <w:t>CEEGEX</w:t>
      </w:r>
      <w:r w:rsidR="000F7930" w:rsidRPr="00721BCD">
        <w:rPr>
          <w:rStyle w:val="Kiemelsszrke"/>
          <w:color w:val="auto"/>
        </w:rPr>
        <w:t xml:space="preserve"> </w:t>
      </w:r>
      <w:r w:rsidRPr="00721BCD">
        <w:rPr>
          <w:rStyle w:val="Kiemelsszrke"/>
          <w:color w:val="auto"/>
        </w:rPr>
        <w:t xml:space="preserve">Day-Ahead (DAM) and </w:t>
      </w:r>
      <w:r w:rsidR="000F7930" w:rsidRPr="00721BCD">
        <w:rPr>
          <w:rStyle w:val="Kiemelsszrke"/>
          <w:color w:val="auto"/>
        </w:rPr>
        <w:t>Physical Futures (PhF)</w:t>
      </w:r>
      <w:r w:rsidRPr="00721BCD">
        <w:rPr>
          <w:rStyle w:val="Kiemelsszrke"/>
          <w:color w:val="auto"/>
        </w:rPr>
        <w:t xml:space="preserve"> Markets</w:t>
      </w:r>
      <w:r w:rsidR="000F7930" w:rsidRPr="00721BCD">
        <w:rPr>
          <w:rStyle w:val="Kiemelsszrke"/>
          <w:color w:val="auto"/>
        </w:rPr>
        <w:t xml:space="preserve"> /</w:t>
      </w:r>
    </w:p>
    <w:p w:rsidR="00B84E07" w:rsidRPr="00A80428" w:rsidRDefault="00437F6F" w:rsidP="00437F6F">
      <w:pPr>
        <w:jc w:val="left"/>
        <w:rPr>
          <w:rStyle w:val="Kiemelsszrke"/>
          <w:i/>
        </w:rPr>
      </w:pPr>
      <w:r w:rsidRPr="00A80428">
        <w:rPr>
          <w:rStyle w:val="Kiemelsszrke"/>
          <w:i/>
        </w:rPr>
        <w:t>CEEGEX Másnapi (DAM) és</w:t>
      </w:r>
      <w:r w:rsidR="00B84E07" w:rsidRPr="00A80428">
        <w:rPr>
          <w:rStyle w:val="Kiemelsszrke"/>
          <w:i/>
        </w:rPr>
        <w:t xml:space="preserve"> </w:t>
      </w:r>
      <w:r w:rsidR="00355993" w:rsidRPr="00355993">
        <w:rPr>
          <w:rStyle w:val="Kiemelsszrke"/>
          <w:i/>
        </w:rPr>
        <w:t xml:space="preserve">Hosszútávú Fizikai Szállítású </w:t>
      </w:r>
      <w:r w:rsidR="00B84E07" w:rsidRPr="00A80428">
        <w:rPr>
          <w:rStyle w:val="Kiemelsszrke"/>
          <w:i/>
        </w:rPr>
        <w:t xml:space="preserve">(PhF) </w:t>
      </w:r>
      <w:r w:rsidRPr="00A80428">
        <w:rPr>
          <w:rStyle w:val="Kiemelsszrke"/>
          <w:i/>
        </w:rPr>
        <w:t>Piacai</w:t>
      </w:r>
    </w:p>
    <w:p w:rsidR="00B84E07" w:rsidRPr="00437F6F" w:rsidRDefault="00B84E07" w:rsidP="00B84E07">
      <w:pPr>
        <w:rPr>
          <w:i/>
        </w:rPr>
      </w:pPr>
    </w:p>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Default="00B84E07" w:rsidP="00B84E07"/>
    <w:p w:rsidR="00B84E07" w:rsidRPr="000F7930" w:rsidRDefault="00B84E07" w:rsidP="00B84E07"/>
    <w:p w:rsidR="00B84E07" w:rsidRPr="000F7930" w:rsidRDefault="000F7930" w:rsidP="00B84E07">
      <w:pPr>
        <w:tabs>
          <w:tab w:val="left" w:pos="2835"/>
        </w:tabs>
        <w:rPr>
          <w:rStyle w:val="Kiemelsszrke"/>
        </w:rPr>
      </w:pPr>
      <w:r w:rsidRPr="000F7930">
        <w:rPr>
          <w:rStyle w:val="Kiemelsbordbold"/>
        </w:rPr>
        <w:t>Notice # /</w:t>
      </w:r>
      <w:r>
        <w:rPr>
          <w:rStyle w:val="Kiemelsbordbold"/>
        </w:rPr>
        <w:t xml:space="preserve"> </w:t>
      </w:r>
      <w:r w:rsidR="00B84E07" w:rsidRPr="000F7930">
        <w:rPr>
          <w:rStyle w:val="Kiemelsbordbold"/>
        </w:rPr>
        <w:t>Iktatási szám:</w:t>
      </w:r>
      <w:r w:rsidR="00B84E07" w:rsidRPr="000F7930">
        <w:rPr>
          <w:rStyle w:val="Kiemelsbord"/>
        </w:rPr>
        <w:t xml:space="preserve">  </w:t>
      </w:r>
      <w:r w:rsidR="00B84E07" w:rsidRPr="000F7930">
        <w:rPr>
          <w:rStyle w:val="Kiemelsbord"/>
        </w:rPr>
        <w:tab/>
      </w:r>
      <w:r w:rsidRPr="00721BCD">
        <w:rPr>
          <w:rStyle w:val="Kiemelsszrke"/>
          <w:color w:val="auto"/>
        </w:rPr>
        <w:t>C</w:t>
      </w:r>
      <w:r w:rsidR="00162B36">
        <w:rPr>
          <w:rStyle w:val="Kiemelsszrke"/>
          <w:color w:val="auto"/>
        </w:rPr>
        <w:t>X-MN</w:t>
      </w:r>
      <w:r w:rsidR="00B84E07" w:rsidRPr="00721BCD">
        <w:rPr>
          <w:rStyle w:val="Kiemelsszrke"/>
          <w:color w:val="auto"/>
        </w:rPr>
        <w:t>-201</w:t>
      </w:r>
      <w:r w:rsidR="00B1217E">
        <w:rPr>
          <w:rStyle w:val="Kiemelsszrke"/>
          <w:color w:val="auto"/>
        </w:rPr>
        <w:t>3</w:t>
      </w:r>
      <w:r w:rsidR="00B84E07" w:rsidRPr="00721BCD">
        <w:rPr>
          <w:rStyle w:val="Kiemelsszrke"/>
          <w:color w:val="auto"/>
        </w:rPr>
        <w:t>-000</w:t>
      </w:r>
      <w:r w:rsidR="00B1217E">
        <w:rPr>
          <w:rStyle w:val="Kiemelsszrke"/>
          <w:color w:val="auto"/>
        </w:rPr>
        <w:t>x</w:t>
      </w:r>
    </w:p>
    <w:p w:rsidR="00B84E07" w:rsidRPr="000F7930" w:rsidRDefault="000F7930" w:rsidP="00B84E07">
      <w:pPr>
        <w:tabs>
          <w:tab w:val="left" w:pos="2835"/>
        </w:tabs>
        <w:rPr>
          <w:rStyle w:val="Kiemelsszrke"/>
        </w:rPr>
      </w:pPr>
      <w:r>
        <w:rPr>
          <w:rStyle w:val="Kiemelsbordbold"/>
        </w:rPr>
        <w:t>Of</w:t>
      </w:r>
      <w:r w:rsidRPr="000F7930">
        <w:rPr>
          <w:rStyle w:val="Kiemelsbordbold"/>
        </w:rPr>
        <w:t xml:space="preserve"> / </w:t>
      </w:r>
      <w:r w:rsidR="00B84E07" w:rsidRPr="000F7930">
        <w:rPr>
          <w:rStyle w:val="Kiemelsbordbold"/>
        </w:rPr>
        <w:t>Dátum</w:t>
      </w:r>
      <w:r>
        <w:rPr>
          <w:rStyle w:val="Kiemelsbordbold"/>
        </w:rPr>
        <w:t>:</w:t>
      </w:r>
      <w:r w:rsidR="00B84E07" w:rsidRPr="000F7930">
        <w:rPr>
          <w:rStyle w:val="Kiemelsbord"/>
        </w:rPr>
        <w:tab/>
      </w:r>
      <w:r w:rsidR="007E4D05" w:rsidRPr="00C052B2">
        <w:rPr>
          <w:rStyle w:val="Kiemelsbord"/>
          <w:color w:val="auto"/>
          <w:highlight w:val="yellow"/>
        </w:rPr>
        <w:t>02</w:t>
      </w:r>
      <w:r w:rsidR="00162B36" w:rsidRPr="00C052B2">
        <w:rPr>
          <w:rStyle w:val="Kiemelsszrke"/>
          <w:color w:val="auto"/>
          <w:highlight w:val="yellow"/>
        </w:rPr>
        <w:t>/</w:t>
      </w:r>
      <w:r w:rsidR="007E4D05" w:rsidRPr="00C052B2">
        <w:rPr>
          <w:rStyle w:val="Kiemelsszrke"/>
          <w:color w:val="auto"/>
          <w:highlight w:val="yellow"/>
        </w:rPr>
        <w:t>04</w:t>
      </w:r>
      <w:r w:rsidR="007E4D05">
        <w:rPr>
          <w:rStyle w:val="Kiemelsszrke"/>
          <w:color w:val="auto"/>
        </w:rPr>
        <w:t>/2013</w:t>
      </w:r>
    </w:p>
    <w:p w:rsidR="00B84E07" w:rsidRPr="000F7930" w:rsidRDefault="000F7930" w:rsidP="00B84E07">
      <w:pPr>
        <w:tabs>
          <w:tab w:val="left" w:pos="2835"/>
        </w:tabs>
        <w:rPr>
          <w:rStyle w:val="Kiemelsszrke"/>
        </w:rPr>
      </w:pPr>
      <w:r w:rsidRPr="000F7930">
        <w:rPr>
          <w:rStyle w:val="Kiemelsbordbold"/>
        </w:rPr>
        <w:t>Subject /</w:t>
      </w:r>
      <w:r>
        <w:rPr>
          <w:rStyle w:val="Kiemelsbordbold"/>
        </w:rPr>
        <w:t xml:space="preserve"> </w:t>
      </w:r>
      <w:r w:rsidR="00B84E07" w:rsidRPr="000F7930">
        <w:rPr>
          <w:rStyle w:val="Kiemelsbordbold"/>
        </w:rPr>
        <w:t>Tárgy:</w:t>
      </w:r>
      <w:r w:rsidR="00B84E07" w:rsidRPr="000F7930">
        <w:rPr>
          <w:rStyle w:val="Kiemelsbord"/>
        </w:rPr>
        <w:tab/>
      </w:r>
      <w:r w:rsidRPr="00721BCD">
        <w:rPr>
          <w:rStyle w:val="Kiemelsszrke"/>
          <w:color w:val="auto"/>
        </w:rPr>
        <w:t>Official notice on prices and discounts</w:t>
      </w:r>
      <w:r w:rsidRPr="000F7930">
        <w:rPr>
          <w:rStyle w:val="Kiemelsszrke"/>
        </w:rPr>
        <w:t xml:space="preserve"> </w:t>
      </w:r>
      <w:r w:rsidR="00B84E07" w:rsidRPr="000F7930">
        <w:rPr>
          <w:rStyle w:val="Kiemelsszrke"/>
        </w:rPr>
        <w:t xml:space="preserve">/ </w:t>
      </w:r>
    </w:p>
    <w:p w:rsidR="00B84E07" w:rsidRPr="00A80428" w:rsidRDefault="00B84E07" w:rsidP="00B84E07">
      <w:pPr>
        <w:tabs>
          <w:tab w:val="left" w:pos="2835"/>
        </w:tabs>
        <w:rPr>
          <w:rStyle w:val="Finomkiemels"/>
          <w:i w:val="0"/>
        </w:rPr>
      </w:pPr>
      <w:r w:rsidRPr="009E01EE">
        <w:rPr>
          <w:rStyle w:val="Finomkiemels"/>
        </w:rPr>
        <w:tab/>
      </w:r>
      <w:r w:rsidR="000F7930" w:rsidRPr="00A80428">
        <w:rPr>
          <w:rStyle w:val="Finomkiemels"/>
          <w:i w:val="0"/>
        </w:rPr>
        <w:t>Hatályos díjszabás és kedvezmények közzététele</w:t>
      </w:r>
    </w:p>
    <w:p w:rsidR="00B84E07" w:rsidRPr="000F7930" w:rsidRDefault="00B84E07" w:rsidP="00B84E07"/>
    <w:p w:rsidR="00B84E07" w:rsidRPr="000F7930" w:rsidRDefault="00B84E07">
      <w:pPr>
        <w:spacing w:after="200" w:line="276" w:lineRule="auto"/>
        <w:jc w:val="left"/>
        <w:rPr>
          <w:b/>
          <w:color w:val="AA2454"/>
          <w:sz w:val="26"/>
        </w:rPr>
      </w:pPr>
      <w:r w:rsidRPr="000F7930">
        <w:br w:type="page"/>
      </w:r>
    </w:p>
    <w:p w:rsidR="00B84E07" w:rsidRPr="00383139" w:rsidRDefault="00383139" w:rsidP="00BC0D0A">
      <w:pPr>
        <w:pStyle w:val="Alcm1"/>
        <w:spacing w:after="720"/>
        <w:jc w:val="center"/>
        <w:rPr>
          <w:sz w:val="28"/>
          <w:szCs w:val="28"/>
        </w:rPr>
      </w:pPr>
      <w:r w:rsidRPr="00383139">
        <w:rPr>
          <w:sz w:val="28"/>
          <w:szCs w:val="28"/>
        </w:rPr>
        <w:lastRenderedPageBreak/>
        <w:t xml:space="preserve">1. </w:t>
      </w:r>
      <w:r w:rsidR="00437F6F" w:rsidRPr="00383139">
        <w:rPr>
          <w:sz w:val="28"/>
          <w:szCs w:val="28"/>
        </w:rPr>
        <w:t xml:space="preserve">Price List / </w:t>
      </w:r>
      <w:r w:rsidR="000B72AF">
        <w:rPr>
          <w:sz w:val="28"/>
          <w:szCs w:val="28"/>
        </w:rPr>
        <w:t>Díjlista</w:t>
      </w:r>
    </w:p>
    <w:p w:rsidR="00C05EE2" w:rsidRPr="000F7930" w:rsidRDefault="00B84E07" w:rsidP="00C05EE2">
      <w:pPr>
        <w:spacing w:after="240"/>
        <w:rPr>
          <w:rStyle w:val="Kiemelsbordbold"/>
        </w:rPr>
      </w:pPr>
      <w:r w:rsidRPr="000F7930">
        <w:rPr>
          <w:rStyle w:val="Kiemelsbordbold"/>
        </w:rPr>
        <w:t>1</w:t>
      </w:r>
      <w:r w:rsidR="00C05EE2">
        <w:rPr>
          <w:rStyle w:val="Kiemelsbordbold"/>
        </w:rPr>
        <w:t>.1</w:t>
      </w:r>
      <w:r w:rsidR="00C05EE2" w:rsidRPr="000F7930">
        <w:rPr>
          <w:rStyle w:val="Kiemelsbordbold"/>
        </w:rPr>
        <w:tab/>
      </w:r>
      <w:r w:rsidR="00C05EE2">
        <w:rPr>
          <w:rStyle w:val="Kiemelsbordbold"/>
        </w:rPr>
        <w:t>CEEGEX tariff packages</w:t>
      </w:r>
      <w:r w:rsidR="00C05EE2" w:rsidRPr="000F7930">
        <w:rPr>
          <w:rStyle w:val="Kiemelsbordbold"/>
        </w:rPr>
        <w:t xml:space="preserve"> </w:t>
      </w:r>
      <w:r w:rsidR="00C05EE2">
        <w:rPr>
          <w:rStyle w:val="Kiemelsbordbold"/>
        </w:rPr>
        <w:t xml:space="preserve">/ </w:t>
      </w:r>
      <w:r w:rsidR="00C05EE2">
        <w:rPr>
          <w:rStyle w:val="Kiemelsbordbold"/>
          <w:color w:val="808080" w:themeColor="background1" w:themeShade="80"/>
        </w:rPr>
        <w:t>CEEGEX tarifacsomagok</w:t>
      </w:r>
    </w:p>
    <w:p w:rsidR="00C05EE2" w:rsidRDefault="00C05EE2" w:rsidP="00C05EE2">
      <w:pPr>
        <w:spacing w:after="240"/>
        <w:rPr>
          <w:lang w:val="en-GB"/>
        </w:rPr>
      </w:pPr>
      <w:r>
        <w:rPr>
          <w:lang w:val="en-GB"/>
        </w:rPr>
        <w:t>CEEGEX currently offers two (2) tariff packages that entail different pricing methods. These packages are the CEEGEX Clas</w:t>
      </w:r>
      <w:bookmarkStart w:id="0" w:name="_GoBack"/>
      <w:bookmarkEnd w:id="0"/>
      <w:r>
        <w:rPr>
          <w:lang w:val="en-GB"/>
        </w:rPr>
        <w:t>sic Tariff Package and the CEEGEX Flexible Tariff package.</w:t>
      </w:r>
    </w:p>
    <w:p w:rsidR="00C05EE2" w:rsidRPr="00AF229C" w:rsidRDefault="00C05EE2" w:rsidP="00C05EE2">
      <w:pPr>
        <w:spacing w:after="240"/>
        <w:rPr>
          <w:lang w:val="en-GB"/>
        </w:rPr>
      </w:pPr>
      <w:r w:rsidRPr="00AF229C">
        <w:rPr>
          <w:lang w:val="en-GB"/>
        </w:rPr>
        <w:t>Applicants at the time of joining CEEGEX must indicate their selection of tariff package on</w:t>
      </w:r>
      <w:r w:rsidRPr="009976FB">
        <w:rPr>
          <w:lang w:val="en-GB"/>
        </w:rPr>
        <w:t xml:space="preserve"> </w:t>
      </w:r>
      <w:r w:rsidRPr="00AF229C">
        <w:rPr>
          <w:lang w:val="en-GB"/>
        </w:rPr>
        <w:t>the D06 form.</w:t>
      </w:r>
      <w:r w:rsidRPr="009976FB">
        <w:rPr>
          <w:lang w:val="en-GB"/>
        </w:rPr>
        <w:t xml:space="preserve"> Fixed expenses and transaction fees </w:t>
      </w:r>
      <w:r w:rsidRPr="00AF229C">
        <w:rPr>
          <w:lang w:val="en-GB"/>
        </w:rPr>
        <w:t>will be invoiced</w:t>
      </w:r>
      <w:r w:rsidRPr="009976FB">
        <w:rPr>
          <w:lang w:val="en-GB"/>
        </w:rPr>
        <w:t xml:space="preserve"> accordingly. For Members, switching between tariff packages is possible at the beginning of each calendar quarter</w:t>
      </w:r>
      <w:r w:rsidRPr="00AF229C">
        <w:rPr>
          <w:lang w:val="en-GB"/>
        </w:rPr>
        <w:t xml:space="preserve"> (January 1</w:t>
      </w:r>
      <w:r w:rsidRPr="00AF229C">
        <w:rPr>
          <w:vertAlign w:val="superscript"/>
          <w:lang w:val="en-GB"/>
        </w:rPr>
        <w:t>st</w:t>
      </w:r>
      <w:r w:rsidRPr="00AF229C">
        <w:rPr>
          <w:lang w:val="en-GB"/>
        </w:rPr>
        <w:t>, April 1</w:t>
      </w:r>
      <w:r w:rsidRPr="00AF229C">
        <w:rPr>
          <w:vertAlign w:val="superscript"/>
          <w:lang w:val="en-GB"/>
        </w:rPr>
        <w:t>st</w:t>
      </w:r>
      <w:r w:rsidRPr="00AF229C">
        <w:rPr>
          <w:lang w:val="en-GB"/>
        </w:rPr>
        <w:t>, July 1</w:t>
      </w:r>
      <w:r w:rsidRPr="00AF229C">
        <w:rPr>
          <w:vertAlign w:val="superscript"/>
          <w:lang w:val="en-GB"/>
        </w:rPr>
        <w:t>st</w:t>
      </w:r>
      <w:r w:rsidRPr="00AF229C">
        <w:rPr>
          <w:lang w:val="en-GB"/>
        </w:rPr>
        <w:t xml:space="preserve"> and October 1</w:t>
      </w:r>
      <w:r w:rsidRPr="00AF229C">
        <w:rPr>
          <w:vertAlign w:val="superscript"/>
          <w:lang w:val="en-GB"/>
        </w:rPr>
        <w:t>st</w:t>
      </w:r>
      <w:r w:rsidRPr="00AF229C">
        <w:rPr>
          <w:lang w:val="en-GB"/>
        </w:rPr>
        <w:t xml:space="preserve">) </w:t>
      </w:r>
      <w:r w:rsidRPr="009976FB">
        <w:rPr>
          <w:lang w:val="en-GB"/>
        </w:rPr>
        <w:t xml:space="preserve">by filling out and sending the D06 form to CEEGEX. Members shall notify CEEGEX Ltd. of their decision to switch tariff package </w:t>
      </w:r>
      <w:r w:rsidRPr="00AF229C">
        <w:rPr>
          <w:lang w:val="en-GB"/>
        </w:rPr>
        <w:t>not less than</w:t>
      </w:r>
      <w:r w:rsidRPr="009976FB">
        <w:rPr>
          <w:lang w:val="en-GB"/>
        </w:rPr>
        <w:t xml:space="preserve"> thirty (30) calendar days prior to the first calendar day of the next calendar quarter. </w:t>
      </w:r>
    </w:p>
    <w:p w:rsidR="000B4523" w:rsidRPr="00AF229C" w:rsidRDefault="000B4523" w:rsidP="000B4523">
      <w:pPr>
        <w:spacing w:after="240"/>
        <w:rPr>
          <w:lang w:val="en-GB"/>
        </w:rPr>
      </w:pPr>
      <w:r w:rsidRPr="00AF229C">
        <w:rPr>
          <w:lang w:val="en-GB"/>
        </w:rPr>
        <w:t>In case a Member wishes to switch tariff package within one calendar year of its admission, the difference between the Entrance fees, in proportion to the remaining calendar quarters of the year, will be charged for the Member. For example joining at January 1</w:t>
      </w:r>
      <w:r w:rsidRPr="00AF229C">
        <w:rPr>
          <w:vertAlign w:val="superscript"/>
          <w:lang w:val="en-GB"/>
        </w:rPr>
        <w:t>st</w:t>
      </w:r>
      <w:r w:rsidRPr="00AF229C">
        <w:rPr>
          <w:lang w:val="en-GB"/>
        </w:rPr>
        <w:t xml:space="preserve"> with Flexible Tariff Package and switching to Classic Tariff Package from April 1</w:t>
      </w:r>
      <w:r w:rsidRPr="00AF229C">
        <w:rPr>
          <w:vertAlign w:val="superscript"/>
          <w:lang w:val="en-GB"/>
        </w:rPr>
        <w:t>st</w:t>
      </w:r>
      <w:r w:rsidRPr="00AF229C">
        <w:rPr>
          <w:lang w:val="en-GB"/>
        </w:rPr>
        <w:t xml:space="preserve">, will </w:t>
      </w:r>
      <w:r>
        <w:rPr>
          <w:lang w:val="en-GB"/>
        </w:rPr>
        <w:t>result in an additional fee of 6</w:t>
      </w:r>
      <w:r w:rsidRPr="00AF229C">
        <w:rPr>
          <w:lang w:val="en-GB"/>
        </w:rPr>
        <w:t>000 € ((15 000 – 7000)*3/4). The terms of payment of this additional fee is congruent with the payment of Annual fees.</w:t>
      </w:r>
    </w:p>
    <w:p w:rsidR="00C05EE2" w:rsidRDefault="00C05EE2" w:rsidP="00C05EE2">
      <w:pPr>
        <w:spacing w:after="240"/>
        <w:rPr>
          <w:lang w:val="en-GB"/>
        </w:rPr>
      </w:pPr>
      <w:r>
        <w:rPr>
          <w:rStyle w:val="Finomkiemels"/>
        </w:rPr>
        <w:t xml:space="preserve">Jelenleg a CEEGEX Zrt. két (2) tarifacsomagot kínál, amelyek különböző díjképzési módszertan alkalmazását vonják maguk után. </w:t>
      </w:r>
      <w:r w:rsidR="00D7251B">
        <w:rPr>
          <w:rStyle w:val="Finomkiemels"/>
        </w:rPr>
        <w:t xml:space="preserve">Ez a két </w:t>
      </w:r>
      <w:r>
        <w:rPr>
          <w:rStyle w:val="Finomkiemels"/>
        </w:rPr>
        <w:t>csomag a CEEGEX Klasszikus és a CEEGEX Rugalmas Tarifacsomagok.</w:t>
      </w:r>
    </w:p>
    <w:p w:rsidR="00C05EE2" w:rsidRPr="00FE78A3" w:rsidRDefault="00C05EE2" w:rsidP="00C05EE2">
      <w:pPr>
        <w:spacing w:after="240"/>
        <w:rPr>
          <w:rStyle w:val="Kiemelsbordbold"/>
        </w:rPr>
      </w:pPr>
      <w:r>
        <w:rPr>
          <w:rStyle w:val="Finomkiemels"/>
        </w:rPr>
        <w:t>A</w:t>
      </w:r>
      <w:r w:rsidRPr="00A80208">
        <w:rPr>
          <w:rStyle w:val="Finomkiemels"/>
        </w:rPr>
        <w:t xml:space="preserve"> </w:t>
      </w:r>
      <w:r>
        <w:rPr>
          <w:rStyle w:val="Finomkiemels"/>
        </w:rPr>
        <w:t xml:space="preserve">Jelentkezőknek a felvételi eljárás során D06-os űrlapon jelezniük kell tarifacsomag választásukat. A fix költségek és tranzakciós díjak ennek megfelelően kerülnek kiszámlázásra. CEEGEX Tagok számára tarifaváltásra minden naptári negyedév kezdetétől van lehetőség (január 1, április 1, július 1, október 1) a D06-s űrlap kitöltésével és a CEEGEX számára történő megküldéssel. Tarifaváltási szándékukat a CEEGEX Tagoknak nem kevesebb, mint harminc (30) naptár nappal a következő naptári negyedév első naptári napja előtt jelezniük kell a CEEGEX felé. </w:t>
      </w:r>
    </w:p>
    <w:p w:rsidR="00C05EE2" w:rsidRPr="00AF229C" w:rsidRDefault="00C05EE2" w:rsidP="00C05EE2">
      <w:pPr>
        <w:spacing w:after="240"/>
      </w:pPr>
      <w:r>
        <w:rPr>
          <w:rStyle w:val="Finomkiemels"/>
        </w:rPr>
        <w:t>Amennyiben a CEEGEX Tag a felvételét követő egy naptári éven belül kíván tarifát váltani, a csatlakozási díjkülönbözet az év végéig hátralévő naptári negyedévek arányában felszámításra kerül a Tag számára. Például amennyiben egy január 1-el, Rugalmas Tarifacsomaggal csatlakozó Tag április 1-el Klasszikus Tarifac</w:t>
      </w:r>
      <w:r w:rsidR="002C55F3">
        <w:rPr>
          <w:rStyle w:val="Finomkiemels"/>
        </w:rPr>
        <w:t>somagra kíván váltani, további 6</w:t>
      </w:r>
      <w:r>
        <w:rPr>
          <w:rStyle w:val="Finomkiemels"/>
        </w:rPr>
        <w:t xml:space="preserve">000 </w:t>
      </w:r>
      <w:r w:rsidRPr="00BD483F">
        <w:rPr>
          <w:rStyle w:val="Finomkiemels"/>
        </w:rPr>
        <w:t>€ ((15 000 – 7000)*3/4)</w:t>
      </w:r>
      <w:r>
        <w:rPr>
          <w:rStyle w:val="Finomkiemels"/>
        </w:rPr>
        <w:t xml:space="preserve"> megfizetésére kötelezett. Ezen pótdíj fizetési feltételei megegyeznek az éves tagsági díj fizetési feltételeivel.</w:t>
      </w:r>
    </w:p>
    <w:p w:rsidR="00B84E07" w:rsidRPr="005A05C7" w:rsidRDefault="00C05EE2" w:rsidP="00B84E07">
      <w:pPr>
        <w:rPr>
          <w:rStyle w:val="Kiemelsbordbold"/>
          <w:color w:val="808080" w:themeColor="background1" w:themeShade="80"/>
        </w:rPr>
      </w:pPr>
      <w:r>
        <w:rPr>
          <w:rStyle w:val="Kiemelsbordbold"/>
        </w:rPr>
        <w:t>1</w:t>
      </w:r>
      <w:r w:rsidR="00B84E07" w:rsidRPr="000F7930">
        <w:rPr>
          <w:rStyle w:val="Kiemelsbordbold"/>
        </w:rPr>
        <w:t>.</w:t>
      </w:r>
      <w:r>
        <w:rPr>
          <w:rStyle w:val="Kiemelsbordbold"/>
        </w:rPr>
        <w:t>2</w:t>
      </w:r>
      <w:r w:rsidR="00B84E07" w:rsidRPr="000F7930">
        <w:rPr>
          <w:rStyle w:val="Kiemelsbordbold"/>
        </w:rPr>
        <w:tab/>
      </w:r>
      <w:r w:rsidR="00437F6F" w:rsidRPr="00162B36">
        <w:rPr>
          <w:rStyle w:val="Kiemelsbordbold"/>
          <w:lang w:val="en-US"/>
        </w:rPr>
        <w:t>Entrance fee, annual fees and other fixed expenses</w:t>
      </w:r>
      <w:r w:rsidR="00437F6F" w:rsidRPr="000F7930">
        <w:rPr>
          <w:rStyle w:val="Kiemelsbordbold"/>
        </w:rPr>
        <w:t xml:space="preserve"> </w:t>
      </w:r>
      <w:r w:rsidR="00437F6F" w:rsidRPr="005A05C7">
        <w:rPr>
          <w:rStyle w:val="Kiemelsbordbold"/>
          <w:color w:val="808080" w:themeColor="background1" w:themeShade="80"/>
        </w:rPr>
        <w:t xml:space="preserve">/ </w:t>
      </w:r>
      <w:r w:rsidR="0051247A">
        <w:rPr>
          <w:rStyle w:val="Kiemelsbordbold"/>
          <w:color w:val="808080" w:themeColor="background1" w:themeShade="80"/>
        </w:rPr>
        <w:t>Csatlakozási</w:t>
      </w:r>
      <w:r w:rsidR="00B84E07" w:rsidRPr="005A05C7">
        <w:rPr>
          <w:rStyle w:val="Kiemelsbordbold"/>
          <w:color w:val="808080" w:themeColor="background1" w:themeShade="80"/>
        </w:rPr>
        <w:t xml:space="preserve"> díj, éves tag</w:t>
      </w:r>
      <w:r w:rsidR="00437F6F" w:rsidRPr="005A05C7">
        <w:rPr>
          <w:rStyle w:val="Kiemelsbordbold"/>
          <w:color w:val="808080" w:themeColor="background1" w:themeShade="80"/>
        </w:rPr>
        <w:t>sági díj és egyéb fix költségek</w:t>
      </w:r>
    </w:p>
    <w:p w:rsidR="00437F6F" w:rsidRPr="00162B36" w:rsidRDefault="00437F6F" w:rsidP="00437F6F">
      <w:pPr>
        <w:rPr>
          <w:lang w:val="en-US"/>
        </w:rPr>
      </w:pPr>
      <w:r w:rsidRPr="00162B36">
        <w:rPr>
          <w:lang w:val="en-US"/>
        </w:rPr>
        <w:lastRenderedPageBreak/>
        <w:t xml:space="preserve">The following tables introduce the entrance fees, annual fees and other expenses of the CEEGEX </w:t>
      </w:r>
      <w:r w:rsidR="00EC68F9" w:rsidRPr="00162B36">
        <w:rPr>
          <w:lang w:val="en-US"/>
        </w:rPr>
        <w:t xml:space="preserve">Day-Ahead (DAM) and </w:t>
      </w:r>
      <w:r w:rsidRPr="00162B36">
        <w:rPr>
          <w:lang w:val="en-US"/>
        </w:rPr>
        <w:t>Physical Futures (PhF) market</w:t>
      </w:r>
      <w:r w:rsidR="00EC68F9" w:rsidRPr="00162B36">
        <w:rPr>
          <w:lang w:val="en-US"/>
        </w:rPr>
        <w:t>s</w:t>
      </w:r>
      <w:r w:rsidRPr="00162B36">
        <w:rPr>
          <w:lang w:val="en-US"/>
        </w:rPr>
        <w:t xml:space="preserve"> in line with the CEEGEX Market Rules:</w:t>
      </w:r>
    </w:p>
    <w:p w:rsidR="00B84E07" w:rsidRPr="009E01EE" w:rsidRDefault="00B84E07" w:rsidP="00B84E07">
      <w:pPr>
        <w:rPr>
          <w:rStyle w:val="Finomkiemels"/>
        </w:rPr>
      </w:pPr>
      <w:r w:rsidRPr="009E01EE">
        <w:rPr>
          <w:rStyle w:val="Finomkiemels"/>
        </w:rPr>
        <w:t xml:space="preserve">Az alábbi táblázatok tartalmazzák a belépési díjat, az éves tagsági díjat és a további fix költségeket a </w:t>
      </w:r>
      <w:r w:rsidR="00437F6F" w:rsidRPr="009E01EE">
        <w:rPr>
          <w:rStyle w:val="Finomkiemels"/>
        </w:rPr>
        <w:t>CEEGEX</w:t>
      </w:r>
      <w:r w:rsidRPr="009E01EE">
        <w:rPr>
          <w:rStyle w:val="Finomkiemels"/>
        </w:rPr>
        <w:t xml:space="preserve"> </w:t>
      </w:r>
      <w:r w:rsidR="00EC68F9">
        <w:rPr>
          <w:rStyle w:val="Finomkiemels"/>
        </w:rPr>
        <w:t xml:space="preserve">Másnapi (DAM) és </w:t>
      </w:r>
      <w:r w:rsidR="00355993" w:rsidRPr="00355993">
        <w:rPr>
          <w:rStyle w:val="Finomkiemels"/>
        </w:rPr>
        <w:t>Hosszútávú Fizikai Szállítású</w:t>
      </w:r>
      <w:r w:rsidRPr="009E01EE">
        <w:rPr>
          <w:rStyle w:val="Finomkiemels"/>
        </w:rPr>
        <w:t xml:space="preserve"> (PhF) piac</w:t>
      </w:r>
      <w:r w:rsidR="00EC68F9">
        <w:rPr>
          <w:rStyle w:val="Finomkiemels"/>
        </w:rPr>
        <w:t>ai</w:t>
      </w:r>
      <w:r w:rsidRPr="009E01EE">
        <w:rPr>
          <w:rStyle w:val="Finomkiemels"/>
        </w:rPr>
        <w:t xml:space="preserve">ra a </w:t>
      </w:r>
      <w:r w:rsidR="00437F6F" w:rsidRPr="009E01EE">
        <w:rPr>
          <w:rStyle w:val="Finomkiemels"/>
        </w:rPr>
        <w:t>CEEGEX</w:t>
      </w:r>
      <w:r w:rsidRPr="009E01EE">
        <w:rPr>
          <w:rStyle w:val="Finomkiemels"/>
        </w:rPr>
        <w:t xml:space="preserve"> hatályos Piaci Szabályzatával összhangban:</w:t>
      </w:r>
    </w:p>
    <w:p w:rsidR="00B84E07" w:rsidRPr="00C052B2" w:rsidRDefault="007B25EA" w:rsidP="00B84E07">
      <w:pPr>
        <w:rPr>
          <w:b/>
        </w:rPr>
      </w:pPr>
      <w:r w:rsidRPr="00C052B2">
        <w:rPr>
          <w:b/>
        </w:rPr>
        <w:t>For the CEEGEX Classic Tariff Package</w:t>
      </w:r>
      <w:r>
        <w:rPr>
          <w:b/>
        </w:rPr>
        <w:t xml:space="preserve"> / A CEEGEX Klasszikus Tarifacsomag esetén:</w:t>
      </w:r>
    </w:p>
    <w:tbl>
      <w:tblPr>
        <w:tblW w:w="9092"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39"/>
        <w:gridCol w:w="3553"/>
      </w:tblGrid>
      <w:tr w:rsidR="00B84E07" w:rsidRPr="000F7930" w:rsidTr="00437F6F">
        <w:trPr>
          <w:jc w:val="center"/>
        </w:trPr>
        <w:tc>
          <w:tcPr>
            <w:tcW w:w="9092"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rsidR="00B84E07" w:rsidRPr="000F7930" w:rsidRDefault="00437F6F" w:rsidP="00437F6F">
            <w:pPr>
              <w:pStyle w:val="StlusNormlbalraFlkvr1httrKiskapitlis"/>
            </w:pPr>
            <w:r>
              <w:t>CEEGEX</w:t>
            </w:r>
            <w:r w:rsidR="00B84E07" w:rsidRPr="000F7930">
              <w:t xml:space="preserve"> Price List</w:t>
            </w:r>
            <w:r w:rsidRPr="000F7930">
              <w:t xml:space="preserve"> </w:t>
            </w:r>
            <w:r>
              <w:t xml:space="preserve">/ CEEGEX </w:t>
            </w:r>
            <w:r w:rsidRPr="000F7930">
              <w:t>Árjegyzék</w:t>
            </w:r>
          </w:p>
        </w:tc>
      </w:tr>
      <w:tr w:rsidR="00B84E07" w:rsidRPr="000F7930" w:rsidTr="00B84E07">
        <w:trPr>
          <w:jc w:val="center"/>
        </w:trPr>
        <w:tc>
          <w:tcPr>
            <w:tcW w:w="5539" w:type="dxa"/>
            <w:tcBorders>
              <w:top w:val="single" w:sz="4" w:space="0" w:color="auto"/>
              <w:left w:val="single" w:sz="4" w:space="0" w:color="auto"/>
              <w:bottom w:val="single" w:sz="4" w:space="0" w:color="auto"/>
              <w:right w:val="single" w:sz="4" w:space="0" w:color="auto"/>
            </w:tcBorders>
          </w:tcPr>
          <w:p w:rsidR="00B84E07" w:rsidRPr="000F7930" w:rsidRDefault="00EC68F9" w:rsidP="00437F6F">
            <w:pPr>
              <w:pStyle w:val="Normlbalra"/>
            </w:pPr>
            <w:r>
              <w:t>Entrance fee</w:t>
            </w:r>
            <w:r w:rsidR="00437F6F" w:rsidRPr="000F7930">
              <w:t xml:space="preserve"> </w:t>
            </w:r>
            <w:r w:rsidR="00437F6F">
              <w:t xml:space="preserve">/ </w:t>
            </w:r>
            <w:r w:rsidR="00437F6F" w:rsidRPr="00A80208">
              <w:rPr>
                <w:rStyle w:val="Finomkiemels"/>
              </w:rPr>
              <w:t>Csatlakozási díj</w:t>
            </w:r>
            <w:r w:rsidR="00437F6F">
              <w:t xml:space="preserve"> </w:t>
            </w:r>
          </w:p>
        </w:tc>
        <w:tc>
          <w:tcPr>
            <w:tcW w:w="3553" w:type="dxa"/>
            <w:tcBorders>
              <w:top w:val="single" w:sz="4" w:space="0" w:color="auto"/>
              <w:left w:val="single" w:sz="4" w:space="0" w:color="auto"/>
              <w:bottom w:val="single" w:sz="4" w:space="0" w:color="auto"/>
              <w:right w:val="single" w:sz="4" w:space="0" w:color="auto"/>
            </w:tcBorders>
          </w:tcPr>
          <w:p w:rsidR="00B84E07" w:rsidRPr="000F7930" w:rsidRDefault="00EC68F9" w:rsidP="00814F87">
            <w:pPr>
              <w:pStyle w:val="Normlbalra"/>
            </w:pPr>
            <w:r>
              <w:t>15</w:t>
            </w:r>
            <w:r w:rsidR="00B84E07" w:rsidRPr="000F7930">
              <w:t xml:space="preserve"> 000 €</w:t>
            </w:r>
          </w:p>
        </w:tc>
      </w:tr>
      <w:tr w:rsidR="00B84E07" w:rsidRPr="000F7930" w:rsidTr="00B84E07">
        <w:trPr>
          <w:jc w:val="center"/>
        </w:trPr>
        <w:tc>
          <w:tcPr>
            <w:tcW w:w="5539" w:type="dxa"/>
            <w:tcBorders>
              <w:top w:val="single" w:sz="4" w:space="0" w:color="auto"/>
              <w:left w:val="single" w:sz="4" w:space="0" w:color="auto"/>
              <w:bottom w:val="single" w:sz="4" w:space="0" w:color="auto"/>
              <w:right w:val="single" w:sz="4" w:space="0" w:color="auto"/>
            </w:tcBorders>
          </w:tcPr>
          <w:p w:rsidR="00B84E07" w:rsidRPr="000F7930" w:rsidRDefault="00EC68F9" w:rsidP="00437F6F">
            <w:pPr>
              <w:pStyle w:val="Normlbalra"/>
            </w:pPr>
            <w:r>
              <w:t>Annual fee</w:t>
            </w:r>
            <w:r w:rsidR="00437F6F" w:rsidRPr="000F7930">
              <w:t xml:space="preserve"> </w:t>
            </w:r>
            <w:r w:rsidR="00437F6F">
              <w:t xml:space="preserve">/ </w:t>
            </w:r>
            <w:r w:rsidR="00437F6F" w:rsidRPr="00A80208">
              <w:rPr>
                <w:rStyle w:val="Finomkiemels"/>
              </w:rPr>
              <w:t>Éves tagsági díj</w:t>
            </w:r>
            <w:r w:rsidR="00437F6F">
              <w:t xml:space="preserve"> </w:t>
            </w:r>
          </w:p>
        </w:tc>
        <w:tc>
          <w:tcPr>
            <w:tcW w:w="3553" w:type="dxa"/>
            <w:tcBorders>
              <w:top w:val="single" w:sz="4" w:space="0" w:color="auto"/>
              <w:left w:val="single" w:sz="4" w:space="0" w:color="auto"/>
              <w:bottom w:val="single" w:sz="4" w:space="0" w:color="auto"/>
              <w:right w:val="single" w:sz="4" w:space="0" w:color="auto"/>
            </w:tcBorders>
          </w:tcPr>
          <w:p w:rsidR="00B84E07" w:rsidRPr="000F7930" w:rsidRDefault="00EC68F9" w:rsidP="00437F6F">
            <w:pPr>
              <w:pStyle w:val="Normlbalra"/>
            </w:pPr>
            <w:r>
              <w:t>12</w:t>
            </w:r>
            <w:r w:rsidR="00B84E07" w:rsidRPr="000F7930">
              <w:t xml:space="preserve"> 000 € / year</w:t>
            </w:r>
            <w:r w:rsidR="00437F6F">
              <w:t xml:space="preserve"> </w:t>
            </w:r>
            <w:r w:rsidR="00437F6F" w:rsidRPr="000F7930">
              <w:t xml:space="preserve">/ </w:t>
            </w:r>
            <w:r w:rsidR="00437F6F" w:rsidRPr="00A80208">
              <w:rPr>
                <w:rStyle w:val="Finomkiemels"/>
              </w:rPr>
              <w:t>év</w:t>
            </w:r>
          </w:p>
        </w:tc>
      </w:tr>
    </w:tbl>
    <w:p w:rsidR="00B84E07" w:rsidRPr="000F7930" w:rsidRDefault="00B84E07" w:rsidP="00B84E07"/>
    <w:tbl>
      <w:tblPr>
        <w:tblW w:w="9117" w:type="dxa"/>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52"/>
        <w:gridCol w:w="3565"/>
      </w:tblGrid>
      <w:tr w:rsidR="00B84E07" w:rsidRPr="000F7930" w:rsidTr="00437F6F">
        <w:trPr>
          <w:jc w:val="center"/>
        </w:trPr>
        <w:tc>
          <w:tcPr>
            <w:tcW w:w="9117"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rsidR="00B84E07" w:rsidRPr="000F7930" w:rsidRDefault="002E359C" w:rsidP="00DA1887">
            <w:pPr>
              <w:pStyle w:val="StlusNormlbalraFlkvr1httrKiskapitlis"/>
            </w:pPr>
            <w:r>
              <w:t>Price List for CEEGEX</w:t>
            </w:r>
            <w:r w:rsidR="00B84E07" w:rsidRPr="000F7930">
              <w:t xml:space="preserve"> </w:t>
            </w:r>
            <w:r>
              <w:t xml:space="preserve">Trayport </w:t>
            </w:r>
            <w:r w:rsidR="00B84E07" w:rsidRPr="000F7930">
              <w:t xml:space="preserve">/ </w:t>
            </w:r>
            <w:r>
              <w:t xml:space="preserve">CEEGEX Trayport </w:t>
            </w:r>
            <w:r w:rsidR="00DA1887">
              <w:t>Díjak</w:t>
            </w:r>
          </w:p>
        </w:tc>
      </w:tr>
      <w:tr w:rsidR="00B84E07" w:rsidRPr="000F7930" w:rsidTr="00B84E07">
        <w:trPr>
          <w:jc w:val="center"/>
        </w:trPr>
        <w:tc>
          <w:tcPr>
            <w:tcW w:w="5552" w:type="dxa"/>
            <w:tcBorders>
              <w:top w:val="single" w:sz="4" w:space="0" w:color="auto"/>
              <w:left w:val="single" w:sz="4" w:space="0" w:color="auto"/>
              <w:bottom w:val="single" w:sz="4" w:space="0" w:color="auto"/>
              <w:right w:val="single" w:sz="4" w:space="0" w:color="auto"/>
            </w:tcBorders>
          </w:tcPr>
          <w:p w:rsidR="00B84E07" w:rsidRPr="000F7930" w:rsidRDefault="002E359C" w:rsidP="00652F83">
            <w:pPr>
              <w:pStyle w:val="Normlbalra"/>
            </w:pPr>
            <w:r w:rsidRPr="000F7930">
              <w:t xml:space="preserve">Annual </w:t>
            </w:r>
            <w:r w:rsidR="00652F83">
              <w:t>s</w:t>
            </w:r>
            <w:r w:rsidR="00652F83" w:rsidRPr="000F7930">
              <w:t xml:space="preserve">ystem </w:t>
            </w:r>
            <w:r w:rsidR="00652F83">
              <w:t xml:space="preserve">license </w:t>
            </w:r>
            <w:r w:rsidR="00EC68F9">
              <w:t>fee</w:t>
            </w:r>
            <w:r w:rsidR="00652F83" w:rsidRPr="000F7930">
              <w:t xml:space="preserve"> / </w:t>
            </w:r>
            <w:r w:rsidR="00652F83">
              <w:rPr>
                <w:rStyle w:val="Finomkiemels"/>
              </w:rPr>
              <w:t>Éves</w:t>
            </w:r>
            <w:r w:rsidR="00652F83" w:rsidRPr="00163F3E">
              <w:rPr>
                <w:rStyle w:val="Finomkiemels"/>
              </w:rPr>
              <w:t xml:space="preserve"> </w:t>
            </w:r>
            <w:r w:rsidR="00652F83">
              <w:rPr>
                <w:rStyle w:val="Finomkiemels"/>
              </w:rPr>
              <w:t>rendszerlicensz</w:t>
            </w:r>
            <w:r w:rsidR="00652F83" w:rsidRPr="00163F3E">
              <w:rPr>
                <w:rStyle w:val="Finomkiemels"/>
              </w:rPr>
              <w:t xml:space="preserve"> díj</w:t>
            </w:r>
            <w:r w:rsidR="00652F83" w:rsidRPr="000F7930">
              <w:t xml:space="preserve"> </w:t>
            </w:r>
            <w:r w:rsidR="00B84E07" w:rsidRPr="000F7930">
              <w:t>(Trayport Global Vision</w:t>
            </w:r>
            <w:r w:rsidR="00B84E07" w:rsidRPr="000F7930">
              <w:rPr>
                <w:vertAlign w:val="superscript"/>
              </w:rPr>
              <w:t>SM</w:t>
            </w:r>
            <w:r w:rsidR="00B84E07" w:rsidRPr="000F7930">
              <w:t>)*</w:t>
            </w:r>
          </w:p>
        </w:tc>
        <w:tc>
          <w:tcPr>
            <w:tcW w:w="3565" w:type="dxa"/>
            <w:tcBorders>
              <w:top w:val="single" w:sz="4" w:space="0" w:color="auto"/>
              <w:left w:val="single" w:sz="4" w:space="0" w:color="auto"/>
              <w:bottom w:val="single" w:sz="4" w:space="0" w:color="auto"/>
              <w:right w:val="single" w:sz="4" w:space="0" w:color="auto"/>
            </w:tcBorders>
          </w:tcPr>
          <w:p w:rsidR="00B84E07" w:rsidRPr="000F7930" w:rsidRDefault="002E359C" w:rsidP="002E359C">
            <w:pPr>
              <w:pStyle w:val="Normlbalra"/>
            </w:pPr>
            <w:r>
              <w:t>10</w:t>
            </w:r>
            <w:r w:rsidR="00B84E07" w:rsidRPr="000F7930">
              <w:t xml:space="preserve"> 000 € / year</w:t>
            </w:r>
            <w:r w:rsidRPr="000F7930">
              <w:t xml:space="preserve"> / </w:t>
            </w:r>
            <w:r w:rsidRPr="00A80208">
              <w:rPr>
                <w:rStyle w:val="Finomkiemels"/>
              </w:rPr>
              <w:t>év</w:t>
            </w:r>
          </w:p>
        </w:tc>
      </w:tr>
      <w:tr w:rsidR="00B84E07" w:rsidRPr="000F7930" w:rsidTr="00B84E07">
        <w:trPr>
          <w:jc w:val="center"/>
        </w:trPr>
        <w:tc>
          <w:tcPr>
            <w:tcW w:w="5552" w:type="dxa"/>
            <w:tcBorders>
              <w:top w:val="single" w:sz="4" w:space="0" w:color="auto"/>
              <w:left w:val="single" w:sz="4" w:space="0" w:color="auto"/>
              <w:bottom w:val="single" w:sz="4" w:space="0" w:color="auto"/>
              <w:right w:val="single" w:sz="4" w:space="0" w:color="auto"/>
            </w:tcBorders>
          </w:tcPr>
          <w:p w:rsidR="00B84E07" w:rsidRPr="000F7930" w:rsidRDefault="002E359C" w:rsidP="002E359C">
            <w:pPr>
              <w:pStyle w:val="Normlbalra"/>
            </w:pPr>
            <w:r w:rsidRPr="000F7930">
              <w:t>Additional user /</w:t>
            </w:r>
            <w:r>
              <w:t xml:space="preserve"> </w:t>
            </w:r>
            <w:r w:rsidR="00B84E07" w:rsidRPr="00A80208">
              <w:rPr>
                <w:rStyle w:val="Finomkiemels"/>
              </w:rPr>
              <w:t>További felhasználó</w:t>
            </w:r>
            <w:r w:rsidR="00B84E07" w:rsidRPr="000F7930">
              <w:t xml:space="preserve"> </w:t>
            </w:r>
          </w:p>
        </w:tc>
        <w:tc>
          <w:tcPr>
            <w:tcW w:w="3565" w:type="dxa"/>
            <w:tcBorders>
              <w:top w:val="single" w:sz="4" w:space="0" w:color="auto"/>
              <w:left w:val="single" w:sz="4" w:space="0" w:color="auto"/>
              <w:bottom w:val="single" w:sz="4" w:space="0" w:color="auto"/>
              <w:right w:val="single" w:sz="4" w:space="0" w:color="auto"/>
            </w:tcBorders>
          </w:tcPr>
          <w:p w:rsidR="00B84E07" w:rsidRPr="000F7930" w:rsidRDefault="002E359C" w:rsidP="002E359C">
            <w:pPr>
              <w:pStyle w:val="Normlbalra"/>
            </w:pPr>
            <w:r>
              <w:t>6 0</w:t>
            </w:r>
            <w:r w:rsidR="00B84E07" w:rsidRPr="000F7930">
              <w:t>00 € / year</w:t>
            </w:r>
            <w:r w:rsidRPr="000F7930">
              <w:t xml:space="preserve"> / </w:t>
            </w:r>
            <w:r w:rsidRPr="00A80208">
              <w:rPr>
                <w:rStyle w:val="Finomkiemels"/>
              </w:rPr>
              <w:t>év</w:t>
            </w:r>
          </w:p>
        </w:tc>
      </w:tr>
      <w:tr w:rsidR="00B84E07" w:rsidRPr="000F7930" w:rsidTr="00B84E07">
        <w:trPr>
          <w:jc w:val="center"/>
        </w:trPr>
        <w:tc>
          <w:tcPr>
            <w:tcW w:w="5552" w:type="dxa"/>
            <w:tcBorders>
              <w:top w:val="single" w:sz="4" w:space="0" w:color="auto"/>
              <w:left w:val="single" w:sz="4" w:space="0" w:color="auto"/>
              <w:bottom w:val="single" w:sz="4" w:space="0" w:color="auto"/>
              <w:right w:val="single" w:sz="4" w:space="0" w:color="auto"/>
            </w:tcBorders>
          </w:tcPr>
          <w:p w:rsidR="00B84E07" w:rsidRPr="009F021B" w:rsidRDefault="002E359C" w:rsidP="002E359C">
            <w:pPr>
              <w:pStyle w:val="Normlbalra"/>
              <w:rPr>
                <w:lang w:val="hu-HU"/>
              </w:rPr>
            </w:pPr>
            <w:r w:rsidRPr="009F021B">
              <w:rPr>
                <w:lang w:val="hu-HU"/>
              </w:rPr>
              <w:t>Additional Read-only user /</w:t>
            </w:r>
            <w:r w:rsidRPr="009F021B">
              <w:rPr>
                <w:lang w:val="hu-HU"/>
              </w:rPr>
              <w:br/>
            </w:r>
            <w:r w:rsidR="00B84E07" w:rsidRPr="009F021B">
              <w:rPr>
                <w:rStyle w:val="Finomkiemels"/>
                <w:lang w:val="hu-HU"/>
              </w:rPr>
              <w:t>További csak olvasási jogosults</w:t>
            </w:r>
            <w:r w:rsidRPr="009F021B">
              <w:rPr>
                <w:rStyle w:val="Finomkiemels"/>
                <w:lang w:val="hu-HU"/>
              </w:rPr>
              <w:t>ággal rendelkező felhasználó</w:t>
            </w:r>
          </w:p>
        </w:tc>
        <w:tc>
          <w:tcPr>
            <w:tcW w:w="3565" w:type="dxa"/>
            <w:tcBorders>
              <w:top w:val="single" w:sz="4" w:space="0" w:color="auto"/>
              <w:left w:val="single" w:sz="4" w:space="0" w:color="auto"/>
              <w:bottom w:val="single" w:sz="4" w:space="0" w:color="auto"/>
              <w:right w:val="single" w:sz="4" w:space="0" w:color="auto"/>
            </w:tcBorders>
          </w:tcPr>
          <w:p w:rsidR="00B84E07" w:rsidRPr="000F7930" w:rsidRDefault="002E359C" w:rsidP="002E359C">
            <w:pPr>
              <w:pStyle w:val="Normlbalra"/>
            </w:pPr>
            <w:r>
              <w:t>6 0</w:t>
            </w:r>
            <w:r w:rsidR="00B84E07" w:rsidRPr="000F7930">
              <w:t>00 € / year</w:t>
            </w:r>
            <w:r w:rsidRPr="000F7930">
              <w:t xml:space="preserve"> / </w:t>
            </w:r>
            <w:r w:rsidRPr="00A80208">
              <w:rPr>
                <w:rStyle w:val="Finomkiemels"/>
              </w:rPr>
              <w:t>év</w:t>
            </w:r>
          </w:p>
        </w:tc>
      </w:tr>
    </w:tbl>
    <w:p w:rsidR="00B84E07" w:rsidRPr="000F7930" w:rsidRDefault="00B84E07" w:rsidP="00B84E07"/>
    <w:p w:rsidR="00994357" w:rsidRPr="000F7930" w:rsidRDefault="00994357" w:rsidP="00994357">
      <w:pPr>
        <w:rPr>
          <w:sz w:val="18"/>
        </w:rPr>
      </w:pPr>
      <w:r w:rsidRPr="000F7930">
        <w:rPr>
          <w:sz w:val="18"/>
        </w:rPr>
        <w:t>*Trayport Global Vision</w:t>
      </w:r>
      <w:r w:rsidRPr="00886EA2">
        <w:rPr>
          <w:sz w:val="18"/>
          <w:vertAlign w:val="superscript"/>
        </w:rPr>
        <w:t>SM</w:t>
      </w:r>
      <w:r w:rsidRPr="000F7930">
        <w:rPr>
          <w:sz w:val="18"/>
        </w:rPr>
        <w:t xml:space="preserve"> Trading System standard access is provided with one (1) user standard acces</w:t>
      </w:r>
      <w:r w:rsidR="009032E7">
        <w:rPr>
          <w:sz w:val="18"/>
        </w:rPr>
        <w:t xml:space="preserve">s and one (1) trading account. Should </w:t>
      </w:r>
      <w:r w:rsidRPr="000F7930">
        <w:rPr>
          <w:sz w:val="18"/>
        </w:rPr>
        <w:t>a Trading Gateway downstream account</w:t>
      </w:r>
      <w:r w:rsidR="009032E7">
        <w:rPr>
          <w:sz w:val="18"/>
        </w:rPr>
        <w:t xml:space="preserve"> be needed</w:t>
      </w:r>
      <w:r w:rsidR="00355993">
        <w:rPr>
          <w:sz w:val="18"/>
        </w:rPr>
        <w:t>,</w:t>
      </w:r>
      <w:r w:rsidR="009032E7">
        <w:rPr>
          <w:sz w:val="18"/>
        </w:rPr>
        <w:t xml:space="preserve"> based on </w:t>
      </w:r>
      <w:r w:rsidR="009032E7" w:rsidRPr="00217CC4">
        <w:rPr>
          <w:sz w:val="18"/>
        </w:rPr>
        <w:t>Form D04</w:t>
      </w:r>
      <w:r w:rsidR="009032E7">
        <w:rPr>
          <w:sz w:val="18"/>
        </w:rPr>
        <w:t>,</w:t>
      </w:r>
      <w:r w:rsidR="00EC68F9">
        <w:rPr>
          <w:sz w:val="18"/>
        </w:rPr>
        <w:t xml:space="preserve"> one (1) downstream account is included in the annual system license fee</w:t>
      </w:r>
      <w:r w:rsidRPr="000F7930">
        <w:rPr>
          <w:sz w:val="18"/>
        </w:rPr>
        <w:t>.</w:t>
      </w:r>
    </w:p>
    <w:p w:rsidR="00B84E07" w:rsidRPr="009E01EE" w:rsidRDefault="00B84E07" w:rsidP="00B84E07">
      <w:pPr>
        <w:rPr>
          <w:rStyle w:val="Finomkiemels"/>
          <w:sz w:val="18"/>
        </w:rPr>
      </w:pPr>
      <w:r w:rsidRPr="009E01EE">
        <w:rPr>
          <w:rStyle w:val="Finomkiemels"/>
          <w:sz w:val="18"/>
        </w:rPr>
        <w:t>*A Trayport Global Vision</w:t>
      </w:r>
      <w:r w:rsidRPr="00886EA2">
        <w:rPr>
          <w:rStyle w:val="Finomkiemels"/>
          <w:sz w:val="18"/>
          <w:vertAlign w:val="superscript"/>
        </w:rPr>
        <w:t>SM</w:t>
      </w:r>
      <w:r w:rsidRPr="009E01EE">
        <w:rPr>
          <w:rStyle w:val="Finomkiemels"/>
          <w:sz w:val="18"/>
        </w:rPr>
        <w:t xml:space="preserve"> Kereskedési Rendszerhez való hozzáférés egy (1) standard hozzáférésű felhasználót és egy (1) kereskedési számlát foglal magában</w:t>
      </w:r>
      <w:r w:rsidR="009032E7" w:rsidRPr="009E01EE">
        <w:rPr>
          <w:rStyle w:val="Finomkiemels"/>
          <w:sz w:val="18"/>
        </w:rPr>
        <w:t>. Amennyiben Trading Gateway kapcsolatra is igény van</w:t>
      </w:r>
      <w:r w:rsidR="00355993">
        <w:rPr>
          <w:rStyle w:val="Finomkiemels"/>
          <w:sz w:val="18"/>
        </w:rPr>
        <w:t>,</w:t>
      </w:r>
      <w:r w:rsidR="009032E7" w:rsidRPr="009E01EE">
        <w:rPr>
          <w:rStyle w:val="Finomkiemels"/>
          <w:sz w:val="18"/>
        </w:rPr>
        <w:t xml:space="preserve"> </w:t>
      </w:r>
      <w:r w:rsidR="009032E7" w:rsidRPr="00217CC4">
        <w:rPr>
          <w:rStyle w:val="Finomkiemels"/>
          <w:sz w:val="18"/>
        </w:rPr>
        <w:t>a D04-</w:t>
      </w:r>
      <w:r w:rsidR="009032E7" w:rsidRPr="009E01EE">
        <w:rPr>
          <w:rStyle w:val="Finomkiemels"/>
          <w:sz w:val="18"/>
        </w:rPr>
        <w:t xml:space="preserve">es formanyomtatvány értelmében, egy </w:t>
      </w:r>
      <w:r w:rsidR="00EC68F9">
        <w:rPr>
          <w:rStyle w:val="Finomkiemels"/>
          <w:sz w:val="18"/>
        </w:rPr>
        <w:t>(1) úgy nevezett „downstream” hozzáférést tartalmaz az éves rendszerlicensz díj</w:t>
      </w:r>
      <w:r w:rsidRPr="009E01EE">
        <w:rPr>
          <w:rStyle w:val="Finomkiemels"/>
          <w:sz w:val="18"/>
        </w:rPr>
        <w:t>.</w:t>
      </w:r>
    </w:p>
    <w:p w:rsidR="007B25EA" w:rsidRDefault="007B25EA" w:rsidP="007B25EA">
      <w:pPr>
        <w:rPr>
          <w:b/>
        </w:rPr>
      </w:pPr>
    </w:p>
    <w:p w:rsidR="007B25EA" w:rsidRPr="00AE2C45" w:rsidRDefault="007B25EA" w:rsidP="007B25EA">
      <w:pPr>
        <w:rPr>
          <w:b/>
        </w:rPr>
      </w:pPr>
      <w:r w:rsidRPr="00AE2C45">
        <w:rPr>
          <w:b/>
        </w:rPr>
        <w:t xml:space="preserve">For the CEEGEX </w:t>
      </w:r>
      <w:r>
        <w:rPr>
          <w:b/>
        </w:rPr>
        <w:t>Flexible</w:t>
      </w:r>
      <w:r w:rsidRPr="00AE2C45">
        <w:rPr>
          <w:b/>
        </w:rPr>
        <w:t xml:space="preserve"> Tariff Package</w:t>
      </w:r>
      <w:r>
        <w:rPr>
          <w:b/>
        </w:rPr>
        <w:t xml:space="preserve"> / A CEEGEX Rugalmas Tarifacsomag esetén:</w:t>
      </w:r>
    </w:p>
    <w:tbl>
      <w:tblPr>
        <w:tblW w:w="9092"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39"/>
        <w:gridCol w:w="3553"/>
      </w:tblGrid>
      <w:tr w:rsidR="007B25EA" w:rsidRPr="000F7930" w:rsidTr="00AE2C45">
        <w:trPr>
          <w:jc w:val="center"/>
        </w:trPr>
        <w:tc>
          <w:tcPr>
            <w:tcW w:w="9092"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rsidR="007B25EA" w:rsidRPr="000F7930" w:rsidRDefault="007B25EA" w:rsidP="00AE2C45">
            <w:pPr>
              <w:pStyle w:val="StlusNormlbalraFlkvr1httrKiskapitlis"/>
            </w:pPr>
            <w:r>
              <w:t>CEEGEX</w:t>
            </w:r>
            <w:r w:rsidRPr="000F7930">
              <w:t xml:space="preserve"> Price List </w:t>
            </w:r>
            <w:r>
              <w:t xml:space="preserve">/ CEEGEX </w:t>
            </w:r>
            <w:r w:rsidRPr="000F7930">
              <w:t>Árjegyzék</w:t>
            </w:r>
          </w:p>
        </w:tc>
      </w:tr>
      <w:tr w:rsidR="007B25EA" w:rsidRPr="000F7930" w:rsidTr="00AE2C45">
        <w:trPr>
          <w:jc w:val="center"/>
        </w:trPr>
        <w:tc>
          <w:tcPr>
            <w:tcW w:w="5539"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t>Entrance fee</w:t>
            </w:r>
            <w:r w:rsidRPr="000F7930">
              <w:t xml:space="preserve"> </w:t>
            </w:r>
            <w:r>
              <w:t xml:space="preserve">/ </w:t>
            </w:r>
            <w:r w:rsidRPr="00A80208">
              <w:rPr>
                <w:rStyle w:val="Finomkiemels"/>
              </w:rPr>
              <w:t>Csatlakozási díj</w:t>
            </w:r>
            <w:r>
              <w:t xml:space="preserve"> </w:t>
            </w:r>
          </w:p>
        </w:tc>
        <w:tc>
          <w:tcPr>
            <w:tcW w:w="3553"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t>7</w:t>
            </w:r>
            <w:r w:rsidRPr="000F7930">
              <w:t xml:space="preserve"> 000 €</w:t>
            </w:r>
          </w:p>
        </w:tc>
      </w:tr>
      <w:tr w:rsidR="007B25EA" w:rsidRPr="000F7930" w:rsidTr="00AE2C45">
        <w:trPr>
          <w:jc w:val="center"/>
        </w:trPr>
        <w:tc>
          <w:tcPr>
            <w:tcW w:w="5539"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t>Annual fee</w:t>
            </w:r>
            <w:r w:rsidRPr="000F7930">
              <w:t xml:space="preserve"> </w:t>
            </w:r>
            <w:r>
              <w:t xml:space="preserve">/ </w:t>
            </w:r>
            <w:r w:rsidRPr="00A80208">
              <w:rPr>
                <w:rStyle w:val="Finomkiemels"/>
              </w:rPr>
              <w:t>Éves tagsági díj</w:t>
            </w:r>
            <w:r>
              <w:t xml:space="preserve"> </w:t>
            </w:r>
          </w:p>
        </w:tc>
        <w:tc>
          <w:tcPr>
            <w:tcW w:w="3553" w:type="dxa"/>
            <w:tcBorders>
              <w:top w:val="single" w:sz="4" w:space="0" w:color="auto"/>
              <w:left w:val="single" w:sz="4" w:space="0" w:color="auto"/>
              <w:bottom w:val="single" w:sz="4" w:space="0" w:color="auto"/>
              <w:right w:val="single" w:sz="4" w:space="0" w:color="auto"/>
            </w:tcBorders>
          </w:tcPr>
          <w:p w:rsidR="007B25EA" w:rsidRPr="000F7930" w:rsidRDefault="00DA439A" w:rsidP="00AE2C45">
            <w:pPr>
              <w:pStyle w:val="Normlbalra"/>
            </w:pPr>
            <w:r>
              <w:t>6</w:t>
            </w:r>
            <w:r w:rsidR="00822B42">
              <w:t xml:space="preserve"> </w:t>
            </w:r>
            <w:r>
              <w:t>5</w:t>
            </w:r>
            <w:r w:rsidR="007B25EA" w:rsidRPr="000F7930">
              <w:t>00 € / year</w:t>
            </w:r>
            <w:r w:rsidR="007B25EA">
              <w:t xml:space="preserve"> </w:t>
            </w:r>
            <w:r w:rsidR="007B25EA" w:rsidRPr="000F7930">
              <w:t xml:space="preserve">/ </w:t>
            </w:r>
            <w:r w:rsidR="007B25EA" w:rsidRPr="00A80208">
              <w:rPr>
                <w:rStyle w:val="Finomkiemels"/>
              </w:rPr>
              <w:t>év</w:t>
            </w:r>
          </w:p>
        </w:tc>
      </w:tr>
    </w:tbl>
    <w:p w:rsidR="007B25EA" w:rsidRPr="000F7930" w:rsidRDefault="007B25EA" w:rsidP="007B25EA"/>
    <w:tbl>
      <w:tblPr>
        <w:tblW w:w="9117" w:type="dxa"/>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52"/>
        <w:gridCol w:w="3565"/>
      </w:tblGrid>
      <w:tr w:rsidR="007B25EA" w:rsidRPr="000F7930" w:rsidTr="00AE2C45">
        <w:trPr>
          <w:jc w:val="center"/>
        </w:trPr>
        <w:tc>
          <w:tcPr>
            <w:tcW w:w="9117"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rsidR="007B25EA" w:rsidRPr="000F7930" w:rsidRDefault="007B25EA" w:rsidP="00AE2C45">
            <w:pPr>
              <w:pStyle w:val="StlusNormlbalraFlkvr1httrKiskapitlis"/>
            </w:pPr>
            <w:r>
              <w:t>Price List for CEEGEX</w:t>
            </w:r>
            <w:r w:rsidRPr="000F7930">
              <w:t xml:space="preserve"> </w:t>
            </w:r>
            <w:r>
              <w:t xml:space="preserve">Trayport </w:t>
            </w:r>
            <w:r w:rsidRPr="000F7930">
              <w:t xml:space="preserve">/ </w:t>
            </w:r>
            <w:r>
              <w:t>CEEGEX Trayport Díjak</w:t>
            </w:r>
          </w:p>
        </w:tc>
      </w:tr>
      <w:tr w:rsidR="007B25EA" w:rsidRPr="000F7930" w:rsidTr="00AE2C45">
        <w:trPr>
          <w:jc w:val="center"/>
        </w:trPr>
        <w:tc>
          <w:tcPr>
            <w:tcW w:w="5552"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rsidRPr="000F7930">
              <w:t xml:space="preserve">Annual </w:t>
            </w:r>
            <w:r>
              <w:t>s</w:t>
            </w:r>
            <w:r w:rsidRPr="000F7930">
              <w:t xml:space="preserve">ystem </w:t>
            </w:r>
            <w:r>
              <w:t>license fee</w:t>
            </w:r>
            <w:r w:rsidRPr="000F7930">
              <w:t xml:space="preserve"> / </w:t>
            </w:r>
            <w:r>
              <w:rPr>
                <w:rStyle w:val="Finomkiemels"/>
              </w:rPr>
              <w:t>Éves</w:t>
            </w:r>
            <w:r w:rsidRPr="00163F3E">
              <w:rPr>
                <w:rStyle w:val="Finomkiemels"/>
              </w:rPr>
              <w:t xml:space="preserve"> </w:t>
            </w:r>
            <w:r>
              <w:rPr>
                <w:rStyle w:val="Finomkiemels"/>
              </w:rPr>
              <w:t>rendszerlicensz</w:t>
            </w:r>
            <w:r w:rsidRPr="00163F3E">
              <w:rPr>
                <w:rStyle w:val="Finomkiemels"/>
              </w:rPr>
              <w:t xml:space="preserve"> díj</w:t>
            </w:r>
            <w:r w:rsidRPr="000F7930">
              <w:t xml:space="preserve"> (Trayport Global Vision</w:t>
            </w:r>
            <w:r w:rsidRPr="000F7930">
              <w:rPr>
                <w:vertAlign w:val="superscript"/>
              </w:rPr>
              <w:t>SM</w:t>
            </w:r>
            <w:r w:rsidRPr="000F7930">
              <w:t>)*</w:t>
            </w:r>
          </w:p>
        </w:tc>
        <w:tc>
          <w:tcPr>
            <w:tcW w:w="3565"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t>10</w:t>
            </w:r>
            <w:r w:rsidRPr="000F7930">
              <w:t xml:space="preserve"> 000 € / year / </w:t>
            </w:r>
            <w:r w:rsidRPr="00A80208">
              <w:rPr>
                <w:rStyle w:val="Finomkiemels"/>
              </w:rPr>
              <w:t>év</w:t>
            </w:r>
          </w:p>
        </w:tc>
      </w:tr>
      <w:tr w:rsidR="007B25EA" w:rsidRPr="000F7930" w:rsidTr="00AE2C45">
        <w:trPr>
          <w:jc w:val="center"/>
        </w:trPr>
        <w:tc>
          <w:tcPr>
            <w:tcW w:w="5552"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rsidRPr="000F7930">
              <w:t>Additional user /</w:t>
            </w:r>
            <w:r>
              <w:t xml:space="preserve"> </w:t>
            </w:r>
            <w:r w:rsidRPr="00A80208">
              <w:rPr>
                <w:rStyle w:val="Finomkiemels"/>
              </w:rPr>
              <w:t>További felhasználó</w:t>
            </w:r>
            <w:r w:rsidRPr="000F7930">
              <w:t xml:space="preserve"> </w:t>
            </w:r>
          </w:p>
        </w:tc>
        <w:tc>
          <w:tcPr>
            <w:tcW w:w="3565"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t>6 0</w:t>
            </w:r>
            <w:r w:rsidRPr="000F7930">
              <w:t xml:space="preserve">00 € / year / </w:t>
            </w:r>
            <w:r w:rsidRPr="00A80208">
              <w:rPr>
                <w:rStyle w:val="Finomkiemels"/>
              </w:rPr>
              <w:t>év</w:t>
            </w:r>
          </w:p>
        </w:tc>
      </w:tr>
      <w:tr w:rsidR="007B25EA" w:rsidRPr="000F7930" w:rsidTr="00AE2C45">
        <w:trPr>
          <w:jc w:val="center"/>
        </w:trPr>
        <w:tc>
          <w:tcPr>
            <w:tcW w:w="5552" w:type="dxa"/>
            <w:tcBorders>
              <w:top w:val="single" w:sz="4" w:space="0" w:color="auto"/>
              <w:left w:val="single" w:sz="4" w:space="0" w:color="auto"/>
              <w:bottom w:val="single" w:sz="4" w:space="0" w:color="auto"/>
              <w:right w:val="single" w:sz="4" w:space="0" w:color="auto"/>
            </w:tcBorders>
          </w:tcPr>
          <w:p w:rsidR="007B25EA" w:rsidRPr="009F021B" w:rsidRDefault="007B25EA" w:rsidP="00AE2C45">
            <w:pPr>
              <w:pStyle w:val="Normlbalra"/>
              <w:rPr>
                <w:lang w:val="hu-HU"/>
              </w:rPr>
            </w:pPr>
            <w:r w:rsidRPr="009F021B">
              <w:rPr>
                <w:lang w:val="hu-HU"/>
              </w:rPr>
              <w:t>Additional Read-only user /</w:t>
            </w:r>
            <w:r w:rsidRPr="009F021B">
              <w:rPr>
                <w:lang w:val="hu-HU"/>
              </w:rPr>
              <w:br/>
            </w:r>
            <w:r w:rsidRPr="009F021B">
              <w:rPr>
                <w:rStyle w:val="Finomkiemels"/>
                <w:lang w:val="hu-HU"/>
              </w:rPr>
              <w:t>További csak olvasási jogosultsággal rendelkező felhasználó</w:t>
            </w:r>
          </w:p>
        </w:tc>
        <w:tc>
          <w:tcPr>
            <w:tcW w:w="3565" w:type="dxa"/>
            <w:tcBorders>
              <w:top w:val="single" w:sz="4" w:space="0" w:color="auto"/>
              <w:left w:val="single" w:sz="4" w:space="0" w:color="auto"/>
              <w:bottom w:val="single" w:sz="4" w:space="0" w:color="auto"/>
              <w:right w:val="single" w:sz="4" w:space="0" w:color="auto"/>
            </w:tcBorders>
          </w:tcPr>
          <w:p w:rsidR="007B25EA" w:rsidRPr="000F7930" w:rsidRDefault="007B25EA" w:rsidP="00AE2C45">
            <w:pPr>
              <w:pStyle w:val="Normlbalra"/>
            </w:pPr>
            <w:r>
              <w:t>6 0</w:t>
            </w:r>
            <w:r w:rsidRPr="000F7930">
              <w:t xml:space="preserve">00 € / year / </w:t>
            </w:r>
            <w:r w:rsidRPr="00A80208">
              <w:rPr>
                <w:rStyle w:val="Finomkiemels"/>
              </w:rPr>
              <w:t>év</w:t>
            </w:r>
          </w:p>
        </w:tc>
      </w:tr>
    </w:tbl>
    <w:p w:rsidR="00B84E07" w:rsidRDefault="00B84E07" w:rsidP="00B84E07"/>
    <w:p w:rsidR="00EC68F9" w:rsidRDefault="00EC68F9" w:rsidP="00B84E07">
      <w:r>
        <w:t xml:space="preserve">By </w:t>
      </w:r>
      <w:r w:rsidR="00724F13">
        <w:t xml:space="preserve">paying the above listed CEEGEX membership and CEEGEX Trayport fixed costs, the CEEGEX Member becomes entitled to trade on both the CEEGEX Day-Ahead (DAM) and </w:t>
      </w:r>
      <w:r w:rsidR="00724F13">
        <w:lastRenderedPageBreak/>
        <w:t>Physical Futures (PhF) markets</w:t>
      </w:r>
      <w:r w:rsidR="00217CC4">
        <w:t>, if and only if the CEEGEX Member meets all the conditions for both CEEGEX markets that are detailed in the CEEGEX Market Rules</w:t>
      </w:r>
      <w:r w:rsidR="00724F13">
        <w:t>.</w:t>
      </w:r>
    </w:p>
    <w:p w:rsidR="00EC68F9" w:rsidRPr="00724F13" w:rsidRDefault="00EC68F9" w:rsidP="00B84E07">
      <w:pPr>
        <w:rPr>
          <w:rStyle w:val="Finomkiemels"/>
        </w:rPr>
      </w:pPr>
      <w:r w:rsidRPr="00724F13">
        <w:rPr>
          <w:rStyle w:val="Finomkiemels"/>
        </w:rPr>
        <w:t xml:space="preserve">A fenti fix CEEGEX tagsági és CEEGEX rendszer díjak megfizetésével a CEEGEX Tag jogosulttá válik mind a CEEGEX Másnapi (DAM) és </w:t>
      </w:r>
      <w:r w:rsidR="00355993" w:rsidRPr="00355993">
        <w:rPr>
          <w:rStyle w:val="Finomkiemels"/>
        </w:rPr>
        <w:t xml:space="preserve">Hosszútávú Fizikai Szállítású </w:t>
      </w:r>
      <w:r w:rsidRPr="00724F13">
        <w:rPr>
          <w:rStyle w:val="Finomkiemels"/>
        </w:rPr>
        <w:t>(PhF) piacain történő kereskedésre</w:t>
      </w:r>
      <w:r w:rsidR="00217CC4">
        <w:rPr>
          <w:rStyle w:val="Finomkiemels"/>
        </w:rPr>
        <w:t>, akkor és csak akkor, ha a CEEGEX Tag megfelel a CEEGEX Piaci Szabályzatban részletezett összes feltételnek mindkét CEEGEX piacra</w:t>
      </w:r>
      <w:r w:rsidRPr="00724F13">
        <w:rPr>
          <w:rStyle w:val="Finomkiemels"/>
        </w:rPr>
        <w:t>.</w:t>
      </w:r>
    </w:p>
    <w:p w:rsidR="00B84E07" w:rsidRPr="000F7930" w:rsidRDefault="00B84E07" w:rsidP="007F48DB">
      <w:pPr>
        <w:spacing w:after="240"/>
        <w:rPr>
          <w:rStyle w:val="Kiemelsbordbold"/>
        </w:rPr>
      </w:pPr>
      <w:r w:rsidRPr="000F7930">
        <w:rPr>
          <w:rStyle w:val="Kiemelsbordbold"/>
        </w:rPr>
        <w:t>1.</w:t>
      </w:r>
      <w:r w:rsidR="00C05EE2">
        <w:rPr>
          <w:rStyle w:val="Kiemelsbordbold"/>
        </w:rPr>
        <w:t>3</w:t>
      </w:r>
      <w:r w:rsidRPr="000F7930">
        <w:rPr>
          <w:rStyle w:val="Kiemelsbordbold"/>
        </w:rPr>
        <w:tab/>
      </w:r>
      <w:r w:rsidR="0071585D">
        <w:rPr>
          <w:rStyle w:val="Kiemelsbordbold"/>
        </w:rPr>
        <w:t>CEEGEX</w:t>
      </w:r>
      <w:r w:rsidRPr="000F7930">
        <w:rPr>
          <w:rStyle w:val="Kiemelsbordbold"/>
        </w:rPr>
        <w:t xml:space="preserve"> </w:t>
      </w:r>
      <w:r w:rsidR="0071585D" w:rsidRPr="000F7930">
        <w:rPr>
          <w:rStyle w:val="Kiemelsbordbold"/>
        </w:rPr>
        <w:t xml:space="preserve">transaction fees </w:t>
      </w:r>
      <w:r w:rsidRPr="000F7930">
        <w:rPr>
          <w:rStyle w:val="Kiemelsbordbold"/>
        </w:rPr>
        <w:t xml:space="preserve">/ </w:t>
      </w:r>
      <w:r w:rsidR="0071585D" w:rsidRPr="005A05C7">
        <w:rPr>
          <w:rStyle w:val="Kiemelsbordbold"/>
          <w:color w:val="808080" w:themeColor="background1" w:themeShade="80"/>
        </w:rPr>
        <w:t>CEEGEX tranzakciós díjak</w:t>
      </w:r>
    </w:p>
    <w:p w:rsidR="0071585D" w:rsidRDefault="0071585D" w:rsidP="00B84E07">
      <w:r w:rsidRPr="000F7930">
        <w:t>The following table introduce</w:t>
      </w:r>
      <w:r w:rsidR="00CA7361">
        <w:t>s</w:t>
      </w:r>
      <w:r w:rsidRPr="000F7930">
        <w:t xml:space="preserve"> the transaction fees of the </w:t>
      </w:r>
      <w:r w:rsidR="00CA7361">
        <w:t>CEEGEX Day-Ahead (DAM) and</w:t>
      </w:r>
      <w:r w:rsidRPr="000F7930">
        <w:t xml:space="preserve"> Physical Futures (PhF) market</w:t>
      </w:r>
      <w:r w:rsidR="00CA7361">
        <w:t>s</w:t>
      </w:r>
      <w:r w:rsidRPr="000F7930">
        <w:t xml:space="preserve"> in line with the </w:t>
      </w:r>
      <w:r w:rsidR="00CA7361">
        <w:t xml:space="preserve">CEEGEX </w:t>
      </w:r>
      <w:r w:rsidRPr="000F7930">
        <w:t>Market Rules:</w:t>
      </w:r>
    </w:p>
    <w:p w:rsidR="00B84E07" w:rsidRDefault="00B84E07" w:rsidP="00B84E07">
      <w:pPr>
        <w:rPr>
          <w:rStyle w:val="Finomkiemels"/>
        </w:rPr>
      </w:pPr>
      <w:r w:rsidRPr="009E01EE">
        <w:rPr>
          <w:rStyle w:val="Finomkiemels"/>
        </w:rPr>
        <w:t>Az alábbi táblázat</w:t>
      </w:r>
      <w:r w:rsidR="00CA7361" w:rsidRPr="009E01EE">
        <w:rPr>
          <w:rStyle w:val="Finomkiemels"/>
        </w:rPr>
        <w:t xml:space="preserve"> tartalmazza</w:t>
      </w:r>
      <w:r w:rsidRPr="009E01EE">
        <w:rPr>
          <w:rStyle w:val="Finomkiemels"/>
        </w:rPr>
        <w:t xml:space="preserve"> a tranzakciós díjakat a </w:t>
      </w:r>
      <w:r w:rsidR="00CA7361" w:rsidRPr="009E01EE">
        <w:rPr>
          <w:rStyle w:val="Finomkiemels"/>
        </w:rPr>
        <w:t xml:space="preserve">CEEGEX Másnapi (DAM) és </w:t>
      </w:r>
      <w:r w:rsidR="00355993" w:rsidRPr="00355993">
        <w:rPr>
          <w:rStyle w:val="Finomkiemels"/>
        </w:rPr>
        <w:t>Hosszútávú Fizikai Szállítású</w:t>
      </w:r>
      <w:r w:rsidR="00CA7361" w:rsidRPr="009E01EE">
        <w:rPr>
          <w:rStyle w:val="Finomkiemels"/>
        </w:rPr>
        <w:t xml:space="preserve"> (PhF) piacai</w:t>
      </w:r>
      <w:r w:rsidRPr="009E01EE">
        <w:rPr>
          <w:rStyle w:val="Finomkiemels"/>
        </w:rPr>
        <w:t xml:space="preserve">ra a </w:t>
      </w:r>
      <w:r w:rsidR="00CA7361" w:rsidRPr="009E01EE">
        <w:rPr>
          <w:rStyle w:val="Finomkiemels"/>
        </w:rPr>
        <w:t xml:space="preserve">CEEGEX </w:t>
      </w:r>
      <w:r w:rsidRPr="009E01EE">
        <w:rPr>
          <w:rStyle w:val="Finomkiemels"/>
        </w:rPr>
        <w:t>hatályos Piaci Szabályzatával összhangban:</w:t>
      </w:r>
    </w:p>
    <w:p w:rsidR="00DA439A" w:rsidRDefault="00DA439A" w:rsidP="00B84E07">
      <w:pPr>
        <w:rPr>
          <w:b/>
        </w:rPr>
      </w:pPr>
    </w:p>
    <w:p w:rsidR="00DA439A" w:rsidRPr="00C052B2" w:rsidRDefault="00DA439A" w:rsidP="00B84E07">
      <w:pPr>
        <w:rPr>
          <w:rStyle w:val="Finomkiemels"/>
          <w:i w:val="0"/>
        </w:rPr>
      </w:pPr>
      <w:r w:rsidRPr="00AE2C45">
        <w:rPr>
          <w:b/>
        </w:rPr>
        <w:t>For the CEEGEX Classic Tariff Package</w:t>
      </w:r>
      <w:r>
        <w:rPr>
          <w:b/>
        </w:rPr>
        <w:t xml:space="preserve"> / A CEEGEX Klasszikus Tarifacsomag esetén:</w:t>
      </w:r>
    </w:p>
    <w:tbl>
      <w:tblPr>
        <w:tblW w:w="909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40"/>
        <w:gridCol w:w="3554"/>
      </w:tblGrid>
      <w:tr w:rsidR="00B84E07" w:rsidRPr="000F7930" w:rsidTr="0071585D">
        <w:trPr>
          <w:jc w:val="center"/>
        </w:trPr>
        <w:tc>
          <w:tcPr>
            <w:tcW w:w="9094"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rsidR="00B84E07" w:rsidRPr="000F7930" w:rsidRDefault="00DA1887" w:rsidP="00DA1887">
            <w:pPr>
              <w:pStyle w:val="StlusNormlbalraFlkvr1httrKiskapitlis"/>
            </w:pPr>
            <w:r w:rsidRPr="000F7930">
              <w:t xml:space="preserve">Transaction Fees for </w:t>
            </w:r>
            <w:r>
              <w:t>CEEGE</w:t>
            </w:r>
            <w:r w:rsidR="00B84E07" w:rsidRPr="000F7930">
              <w:t>X</w:t>
            </w:r>
            <w:r>
              <w:t xml:space="preserve"> / CEEGEX Tranzakciós Díjak</w:t>
            </w:r>
          </w:p>
        </w:tc>
      </w:tr>
      <w:tr w:rsidR="00B84E07" w:rsidRPr="000F7930" w:rsidTr="00B84E07">
        <w:trPr>
          <w:jc w:val="center"/>
        </w:trPr>
        <w:tc>
          <w:tcPr>
            <w:tcW w:w="5540" w:type="dxa"/>
            <w:tcBorders>
              <w:top w:val="single" w:sz="4" w:space="0" w:color="auto"/>
              <w:left w:val="single" w:sz="4" w:space="0" w:color="auto"/>
              <w:bottom w:val="single" w:sz="4" w:space="0" w:color="auto"/>
              <w:right w:val="single" w:sz="4" w:space="0" w:color="auto"/>
            </w:tcBorders>
          </w:tcPr>
          <w:p w:rsidR="00B84E07" w:rsidRPr="000F7930" w:rsidRDefault="00DA1887" w:rsidP="00DA1887">
            <w:pPr>
              <w:pStyle w:val="Normlbalra"/>
            </w:pPr>
            <w:r>
              <w:t>T</w:t>
            </w:r>
            <w:r w:rsidRPr="000F7930">
              <w:t xml:space="preserve">ransaction fee </w:t>
            </w:r>
            <w:r>
              <w:t xml:space="preserve">for Day-Ahead market / </w:t>
            </w:r>
            <w:r>
              <w:br/>
            </w:r>
            <w:r w:rsidRPr="00A80208">
              <w:rPr>
                <w:rStyle w:val="Finomkiemels"/>
              </w:rPr>
              <w:t>Másnapi piaci tranzakciós díjak</w:t>
            </w:r>
          </w:p>
        </w:tc>
        <w:tc>
          <w:tcPr>
            <w:tcW w:w="3554" w:type="dxa"/>
            <w:tcBorders>
              <w:top w:val="single" w:sz="4" w:space="0" w:color="auto"/>
              <w:left w:val="single" w:sz="4" w:space="0" w:color="auto"/>
              <w:bottom w:val="single" w:sz="4" w:space="0" w:color="auto"/>
              <w:right w:val="single" w:sz="4" w:space="0" w:color="auto"/>
            </w:tcBorders>
          </w:tcPr>
          <w:p w:rsidR="00B84E07" w:rsidRPr="000F7930" w:rsidRDefault="00B84E07" w:rsidP="00DA1887">
            <w:pPr>
              <w:pStyle w:val="Normlbalra"/>
            </w:pPr>
            <w:r w:rsidRPr="000F7930">
              <w:t>0.0</w:t>
            </w:r>
            <w:r w:rsidR="00EC68F9">
              <w:t>3</w:t>
            </w:r>
            <w:r w:rsidRPr="000F7930">
              <w:t xml:space="preserve"> € / MWh</w:t>
            </w:r>
          </w:p>
        </w:tc>
      </w:tr>
      <w:tr w:rsidR="00B84E07" w:rsidRPr="000F7930" w:rsidTr="00B84E07">
        <w:trPr>
          <w:jc w:val="center"/>
        </w:trPr>
        <w:tc>
          <w:tcPr>
            <w:tcW w:w="5540" w:type="dxa"/>
            <w:tcBorders>
              <w:top w:val="single" w:sz="4" w:space="0" w:color="auto"/>
              <w:left w:val="single" w:sz="4" w:space="0" w:color="auto"/>
              <w:bottom w:val="single" w:sz="4" w:space="0" w:color="auto"/>
              <w:right w:val="single" w:sz="4" w:space="0" w:color="auto"/>
            </w:tcBorders>
          </w:tcPr>
          <w:p w:rsidR="00B84E07" w:rsidRPr="000F7930" w:rsidRDefault="00DA1887" w:rsidP="00DA1887">
            <w:pPr>
              <w:pStyle w:val="Normlbalra"/>
            </w:pPr>
            <w:r>
              <w:t xml:space="preserve">Transaction fee for Physical Futures market / </w:t>
            </w:r>
            <w:r>
              <w:br/>
            </w:r>
            <w:r w:rsidR="00355993" w:rsidRPr="00355993">
              <w:rPr>
                <w:rStyle w:val="Finomkiemels"/>
              </w:rPr>
              <w:t xml:space="preserve">Hosszútávú Fizikai Szállítású </w:t>
            </w:r>
            <w:r w:rsidRPr="00A80208">
              <w:rPr>
                <w:rStyle w:val="Finomkiemels"/>
              </w:rPr>
              <w:t>piaci tranzakciós díjak</w:t>
            </w:r>
          </w:p>
        </w:tc>
        <w:tc>
          <w:tcPr>
            <w:tcW w:w="3554" w:type="dxa"/>
            <w:tcBorders>
              <w:top w:val="single" w:sz="4" w:space="0" w:color="auto"/>
              <w:left w:val="single" w:sz="4" w:space="0" w:color="auto"/>
              <w:bottom w:val="single" w:sz="4" w:space="0" w:color="auto"/>
              <w:right w:val="single" w:sz="4" w:space="0" w:color="auto"/>
            </w:tcBorders>
          </w:tcPr>
          <w:p w:rsidR="00B84E07" w:rsidRPr="000F7930" w:rsidRDefault="00DA1887" w:rsidP="00814F87">
            <w:pPr>
              <w:pStyle w:val="Normlbalra"/>
            </w:pPr>
            <w:r>
              <w:t>0.0</w:t>
            </w:r>
            <w:r w:rsidR="00EC68F9">
              <w:t>2</w:t>
            </w:r>
            <w:r w:rsidR="00B84E07" w:rsidRPr="000F7930">
              <w:t xml:space="preserve"> € / MWh</w:t>
            </w:r>
          </w:p>
        </w:tc>
      </w:tr>
      <w:tr w:rsidR="00B84E07" w:rsidRPr="000F7930" w:rsidTr="00B84E07">
        <w:trPr>
          <w:jc w:val="center"/>
        </w:trPr>
        <w:tc>
          <w:tcPr>
            <w:tcW w:w="5540" w:type="dxa"/>
            <w:tcBorders>
              <w:top w:val="single" w:sz="4" w:space="0" w:color="auto"/>
              <w:left w:val="single" w:sz="4" w:space="0" w:color="auto"/>
              <w:bottom w:val="single" w:sz="4" w:space="0" w:color="auto"/>
              <w:right w:val="single" w:sz="4" w:space="0" w:color="auto"/>
            </w:tcBorders>
          </w:tcPr>
          <w:p w:rsidR="00B84E07" w:rsidRPr="000F7930" w:rsidRDefault="00CA7361" w:rsidP="00CA7361">
            <w:pPr>
              <w:pStyle w:val="Normlbalra"/>
            </w:pPr>
            <w:r w:rsidRPr="000F7930">
              <w:t>OTC clearing registration fee</w:t>
            </w:r>
            <w:r>
              <w:t xml:space="preserve"> /</w:t>
            </w:r>
            <w:r w:rsidRPr="000F7930">
              <w:t xml:space="preserve"> </w:t>
            </w:r>
            <w:r>
              <w:br/>
            </w:r>
            <w:r w:rsidR="00B84E07" w:rsidRPr="00A80208">
              <w:rPr>
                <w:rStyle w:val="Finomkiemels"/>
              </w:rPr>
              <w:t>OTC ügyle</w:t>
            </w:r>
            <w:r w:rsidRPr="00A80208">
              <w:rPr>
                <w:rStyle w:val="Finomkiemels"/>
              </w:rPr>
              <w:t>tek bejelentése elszámolásra</w:t>
            </w:r>
          </w:p>
        </w:tc>
        <w:tc>
          <w:tcPr>
            <w:tcW w:w="3554" w:type="dxa"/>
            <w:tcBorders>
              <w:top w:val="single" w:sz="4" w:space="0" w:color="auto"/>
              <w:left w:val="single" w:sz="4" w:space="0" w:color="auto"/>
              <w:bottom w:val="single" w:sz="4" w:space="0" w:color="auto"/>
              <w:right w:val="single" w:sz="4" w:space="0" w:color="auto"/>
            </w:tcBorders>
          </w:tcPr>
          <w:p w:rsidR="00B84E07" w:rsidRPr="000F7930" w:rsidRDefault="00B84E07" w:rsidP="00DA1887">
            <w:pPr>
              <w:pStyle w:val="Normlbalra"/>
            </w:pPr>
            <w:r w:rsidRPr="000F7930">
              <w:t>0.0</w:t>
            </w:r>
            <w:r w:rsidR="00EC68F9">
              <w:t>1</w:t>
            </w:r>
            <w:r w:rsidRPr="000F7930">
              <w:t xml:space="preserve"> € / MWh</w:t>
            </w:r>
          </w:p>
        </w:tc>
      </w:tr>
    </w:tbl>
    <w:p w:rsidR="00B84E07" w:rsidRDefault="00B84E07" w:rsidP="00B84E07"/>
    <w:p w:rsidR="00DA439A" w:rsidRPr="00AE2C45" w:rsidRDefault="00DA439A" w:rsidP="00DA439A">
      <w:pPr>
        <w:rPr>
          <w:b/>
        </w:rPr>
      </w:pPr>
      <w:r w:rsidRPr="00AE2C45">
        <w:rPr>
          <w:b/>
        </w:rPr>
        <w:t xml:space="preserve">For the CEEGEX </w:t>
      </w:r>
      <w:r>
        <w:rPr>
          <w:b/>
        </w:rPr>
        <w:t>Flexible</w:t>
      </w:r>
      <w:r w:rsidRPr="00AE2C45">
        <w:rPr>
          <w:b/>
        </w:rPr>
        <w:t xml:space="preserve"> Tariff Package</w:t>
      </w:r>
      <w:r>
        <w:rPr>
          <w:b/>
        </w:rPr>
        <w:t xml:space="preserve"> / A CEEGEX Rugalmas Tarifacsomag esetén:</w:t>
      </w:r>
    </w:p>
    <w:tbl>
      <w:tblPr>
        <w:tblW w:w="909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40"/>
        <w:gridCol w:w="3554"/>
      </w:tblGrid>
      <w:tr w:rsidR="00DA439A" w:rsidRPr="000F7930" w:rsidTr="00AE2C45">
        <w:trPr>
          <w:jc w:val="center"/>
        </w:trPr>
        <w:tc>
          <w:tcPr>
            <w:tcW w:w="9094" w:type="dxa"/>
            <w:gridSpan w:val="2"/>
            <w:tcBorders>
              <w:top w:val="single" w:sz="4" w:space="0" w:color="auto"/>
              <w:left w:val="single" w:sz="4" w:space="0" w:color="auto"/>
              <w:bottom w:val="single" w:sz="4" w:space="0" w:color="auto"/>
              <w:right w:val="single" w:sz="4" w:space="0" w:color="auto"/>
            </w:tcBorders>
            <w:shd w:val="clear" w:color="auto" w:fill="AA2454"/>
            <w:vAlign w:val="center"/>
          </w:tcPr>
          <w:p w:rsidR="00DA439A" w:rsidRPr="000F7930" w:rsidRDefault="00DA439A" w:rsidP="00AE2C45">
            <w:pPr>
              <w:pStyle w:val="StlusNormlbalraFlkvr1httrKiskapitlis"/>
            </w:pPr>
            <w:r w:rsidRPr="000F7930">
              <w:t xml:space="preserve">Transaction Fees for </w:t>
            </w:r>
            <w:r>
              <w:t>CEEGE</w:t>
            </w:r>
            <w:r w:rsidRPr="000F7930">
              <w:t>X</w:t>
            </w:r>
            <w:r>
              <w:t xml:space="preserve"> / CEEGEX Tranzakciós Díjak</w:t>
            </w:r>
          </w:p>
        </w:tc>
      </w:tr>
      <w:tr w:rsidR="00DA439A" w:rsidRPr="000F7930" w:rsidTr="00AE2C45">
        <w:trPr>
          <w:jc w:val="center"/>
        </w:trPr>
        <w:tc>
          <w:tcPr>
            <w:tcW w:w="5540" w:type="dxa"/>
            <w:tcBorders>
              <w:top w:val="single" w:sz="4" w:space="0" w:color="auto"/>
              <w:left w:val="single" w:sz="4" w:space="0" w:color="auto"/>
              <w:bottom w:val="single" w:sz="4" w:space="0" w:color="auto"/>
              <w:right w:val="single" w:sz="4" w:space="0" w:color="auto"/>
            </w:tcBorders>
          </w:tcPr>
          <w:p w:rsidR="00DA439A" w:rsidRPr="000F7930" w:rsidRDefault="00DA439A" w:rsidP="00AE2C45">
            <w:pPr>
              <w:pStyle w:val="Normlbalra"/>
            </w:pPr>
            <w:r>
              <w:t>T</w:t>
            </w:r>
            <w:r w:rsidRPr="000F7930">
              <w:t xml:space="preserve">ransaction fee </w:t>
            </w:r>
            <w:r>
              <w:t xml:space="preserve">for Day-Ahead market / </w:t>
            </w:r>
            <w:r>
              <w:br/>
            </w:r>
            <w:r w:rsidRPr="00A80208">
              <w:rPr>
                <w:rStyle w:val="Finomkiemels"/>
              </w:rPr>
              <w:t>Másnapi piaci tranzakciós díjak</w:t>
            </w:r>
          </w:p>
        </w:tc>
        <w:tc>
          <w:tcPr>
            <w:tcW w:w="3554" w:type="dxa"/>
            <w:tcBorders>
              <w:top w:val="single" w:sz="4" w:space="0" w:color="auto"/>
              <w:left w:val="single" w:sz="4" w:space="0" w:color="auto"/>
              <w:bottom w:val="single" w:sz="4" w:space="0" w:color="auto"/>
              <w:right w:val="single" w:sz="4" w:space="0" w:color="auto"/>
            </w:tcBorders>
          </w:tcPr>
          <w:p w:rsidR="00DA439A" w:rsidRPr="000F7930" w:rsidRDefault="00DA439A" w:rsidP="00AE2C45">
            <w:pPr>
              <w:pStyle w:val="Normlbalra"/>
            </w:pPr>
            <w:r w:rsidRPr="000F7930">
              <w:t>0.0</w:t>
            </w:r>
            <w:r>
              <w:t>9</w:t>
            </w:r>
            <w:r w:rsidRPr="000F7930">
              <w:t xml:space="preserve"> € / MWh</w:t>
            </w:r>
          </w:p>
        </w:tc>
      </w:tr>
      <w:tr w:rsidR="00DA439A" w:rsidRPr="000F7930" w:rsidTr="00AE2C45">
        <w:trPr>
          <w:jc w:val="center"/>
        </w:trPr>
        <w:tc>
          <w:tcPr>
            <w:tcW w:w="5540" w:type="dxa"/>
            <w:tcBorders>
              <w:top w:val="single" w:sz="4" w:space="0" w:color="auto"/>
              <w:left w:val="single" w:sz="4" w:space="0" w:color="auto"/>
              <w:bottom w:val="single" w:sz="4" w:space="0" w:color="auto"/>
              <w:right w:val="single" w:sz="4" w:space="0" w:color="auto"/>
            </w:tcBorders>
          </w:tcPr>
          <w:p w:rsidR="00DA439A" w:rsidRPr="000F7930" w:rsidRDefault="00DA439A" w:rsidP="00AE2C45">
            <w:pPr>
              <w:pStyle w:val="Normlbalra"/>
            </w:pPr>
            <w:r>
              <w:t xml:space="preserve">Transaction fee for Physical Futures market / </w:t>
            </w:r>
            <w:r>
              <w:br/>
            </w:r>
            <w:r w:rsidRPr="00355993">
              <w:rPr>
                <w:rStyle w:val="Finomkiemels"/>
              </w:rPr>
              <w:t xml:space="preserve">Hosszútávú Fizikai Szállítású </w:t>
            </w:r>
            <w:r w:rsidRPr="00A80208">
              <w:rPr>
                <w:rStyle w:val="Finomkiemels"/>
              </w:rPr>
              <w:t>piaci tranzakciós díjak</w:t>
            </w:r>
          </w:p>
        </w:tc>
        <w:tc>
          <w:tcPr>
            <w:tcW w:w="3554" w:type="dxa"/>
            <w:tcBorders>
              <w:top w:val="single" w:sz="4" w:space="0" w:color="auto"/>
              <w:left w:val="single" w:sz="4" w:space="0" w:color="auto"/>
              <w:bottom w:val="single" w:sz="4" w:space="0" w:color="auto"/>
              <w:right w:val="single" w:sz="4" w:space="0" w:color="auto"/>
            </w:tcBorders>
          </w:tcPr>
          <w:p w:rsidR="00DA439A" w:rsidRPr="000F7930" w:rsidRDefault="00DA439A" w:rsidP="00AE2C45">
            <w:pPr>
              <w:pStyle w:val="Normlbalra"/>
            </w:pPr>
            <w:r>
              <w:t>0.06</w:t>
            </w:r>
            <w:r w:rsidRPr="000F7930">
              <w:t xml:space="preserve"> € / MWh</w:t>
            </w:r>
          </w:p>
        </w:tc>
      </w:tr>
      <w:tr w:rsidR="00DA439A" w:rsidRPr="000F7930" w:rsidTr="00AE2C45">
        <w:trPr>
          <w:jc w:val="center"/>
        </w:trPr>
        <w:tc>
          <w:tcPr>
            <w:tcW w:w="5540" w:type="dxa"/>
            <w:tcBorders>
              <w:top w:val="single" w:sz="4" w:space="0" w:color="auto"/>
              <w:left w:val="single" w:sz="4" w:space="0" w:color="auto"/>
              <w:bottom w:val="single" w:sz="4" w:space="0" w:color="auto"/>
              <w:right w:val="single" w:sz="4" w:space="0" w:color="auto"/>
            </w:tcBorders>
          </w:tcPr>
          <w:p w:rsidR="00DA439A" w:rsidRPr="000F7930" w:rsidRDefault="00DA439A" w:rsidP="00AE2C45">
            <w:pPr>
              <w:pStyle w:val="Normlbalra"/>
            </w:pPr>
            <w:r w:rsidRPr="000F7930">
              <w:t>OTC clearing registration fee</w:t>
            </w:r>
            <w:r>
              <w:t xml:space="preserve"> /</w:t>
            </w:r>
            <w:r w:rsidRPr="000F7930">
              <w:t xml:space="preserve"> </w:t>
            </w:r>
            <w:r>
              <w:br/>
            </w:r>
            <w:r w:rsidRPr="00A80208">
              <w:rPr>
                <w:rStyle w:val="Finomkiemels"/>
              </w:rPr>
              <w:t>OTC ügyletek bejelentése elszámolásra</w:t>
            </w:r>
          </w:p>
        </w:tc>
        <w:tc>
          <w:tcPr>
            <w:tcW w:w="3554" w:type="dxa"/>
            <w:tcBorders>
              <w:top w:val="single" w:sz="4" w:space="0" w:color="auto"/>
              <w:left w:val="single" w:sz="4" w:space="0" w:color="auto"/>
              <w:bottom w:val="single" w:sz="4" w:space="0" w:color="auto"/>
              <w:right w:val="single" w:sz="4" w:space="0" w:color="auto"/>
            </w:tcBorders>
          </w:tcPr>
          <w:p w:rsidR="00DA439A" w:rsidRPr="000F7930" w:rsidRDefault="00DA439A" w:rsidP="00AE2C45">
            <w:pPr>
              <w:pStyle w:val="Normlbalra"/>
            </w:pPr>
            <w:r w:rsidRPr="000F7930">
              <w:t>0.0</w:t>
            </w:r>
            <w:r>
              <w:t>3</w:t>
            </w:r>
            <w:r w:rsidRPr="000F7930">
              <w:t xml:space="preserve"> € / MWh</w:t>
            </w:r>
          </w:p>
        </w:tc>
      </w:tr>
    </w:tbl>
    <w:p w:rsidR="00DA439A" w:rsidRPr="000F7930" w:rsidRDefault="00DA439A" w:rsidP="00B84E07"/>
    <w:p w:rsidR="00B84E07" w:rsidRPr="000F7930" w:rsidRDefault="00B84E07" w:rsidP="007F48DB">
      <w:pPr>
        <w:spacing w:after="240"/>
        <w:rPr>
          <w:rStyle w:val="Kiemelsbordbold"/>
        </w:rPr>
      </w:pPr>
      <w:r w:rsidRPr="000F7930">
        <w:rPr>
          <w:rStyle w:val="Kiemelsbordbold"/>
        </w:rPr>
        <w:t>1.</w:t>
      </w:r>
      <w:r w:rsidR="00614699">
        <w:rPr>
          <w:rStyle w:val="Kiemelsbordbold"/>
        </w:rPr>
        <w:t>4</w:t>
      </w:r>
      <w:r w:rsidRPr="000F7930">
        <w:rPr>
          <w:rStyle w:val="Kiemelsbordbold"/>
        </w:rPr>
        <w:tab/>
      </w:r>
      <w:r w:rsidR="00A35D46">
        <w:rPr>
          <w:rStyle w:val="Kiemelsbordbold"/>
        </w:rPr>
        <w:t>CEEGE</w:t>
      </w:r>
      <w:r w:rsidR="00A35D46" w:rsidRPr="000F7930">
        <w:rPr>
          <w:rStyle w:val="Kiemelsbordbold"/>
        </w:rPr>
        <w:t xml:space="preserve">X discounts </w:t>
      </w:r>
      <w:r w:rsidR="00A35D46">
        <w:rPr>
          <w:rStyle w:val="Kiemelsbordbold"/>
        </w:rPr>
        <w:t xml:space="preserve">/ </w:t>
      </w:r>
      <w:r w:rsidR="00A35D46" w:rsidRPr="005A05C7">
        <w:rPr>
          <w:rStyle w:val="Kiemelsbordbold"/>
          <w:color w:val="808080" w:themeColor="background1" w:themeShade="80"/>
        </w:rPr>
        <w:t>CEEGEX kedvezmények</w:t>
      </w:r>
    </w:p>
    <w:p w:rsidR="00A35D46" w:rsidRPr="000F7930" w:rsidRDefault="0008505F" w:rsidP="00A35D46">
      <w:r>
        <w:lastRenderedPageBreak/>
        <w:t>CEEGEX</w:t>
      </w:r>
      <w:r w:rsidR="00A35D46" w:rsidRPr="000F7930">
        <w:t xml:space="preserve"> provides altogether</w:t>
      </w:r>
      <w:r w:rsidR="00EC68F9">
        <w:t xml:space="preserve"> one (1) discount type</w:t>
      </w:r>
      <w:r w:rsidR="00A35D46" w:rsidRPr="000F7930">
        <w:t xml:space="preserve"> on the </w:t>
      </w:r>
      <w:r w:rsidR="00A35D46">
        <w:t>CEEGE</w:t>
      </w:r>
      <w:r w:rsidR="00A35D46" w:rsidRPr="000F7930">
        <w:t>X market</w:t>
      </w:r>
      <w:r w:rsidR="00A35D46">
        <w:t>s</w:t>
      </w:r>
      <w:r w:rsidR="00EC68F9">
        <w:t>:</w:t>
      </w:r>
    </w:p>
    <w:p w:rsidR="00A35D46" w:rsidRPr="000F7930" w:rsidRDefault="00A35D46" w:rsidP="00E339E3">
      <w:pPr>
        <w:pStyle w:val="Listaszerbekezds"/>
        <w:numPr>
          <w:ilvl w:val="0"/>
          <w:numId w:val="2"/>
        </w:numPr>
      </w:pPr>
      <w:r w:rsidRPr="000F7930">
        <w:t>Market Maker discount</w:t>
      </w:r>
    </w:p>
    <w:p w:rsidR="00B84E07" w:rsidRPr="009E01EE" w:rsidRDefault="00B84E07" w:rsidP="00B84E07">
      <w:pPr>
        <w:rPr>
          <w:rStyle w:val="Finomkiemels"/>
        </w:rPr>
      </w:pPr>
      <w:r w:rsidRPr="009E01EE">
        <w:rPr>
          <w:rStyle w:val="Finomkiemels"/>
        </w:rPr>
        <w:t xml:space="preserve">A </w:t>
      </w:r>
      <w:r w:rsidR="0008505F">
        <w:rPr>
          <w:rStyle w:val="Finomkiemels"/>
        </w:rPr>
        <w:t>CEEGEX</w:t>
      </w:r>
      <w:r w:rsidR="00EC68F9">
        <w:rPr>
          <w:rStyle w:val="Finomkiemels"/>
        </w:rPr>
        <w:t xml:space="preserve"> összesen az alábbi egy (1</w:t>
      </w:r>
      <w:r w:rsidRPr="009E01EE">
        <w:rPr>
          <w:rStyle w:val="Finomkiemels"/>
        </w:rPr>
        <w:t xml:space="preserve">) kedvezményre ad lehetőséget a </w:t>
      </w:r>
      <w:r w:rsidR="00E339E3" w:rsidRPr="009E01EE">
        <w:rPr>
          <w:rStyle w:val="Finomkiemels"/>
        </w:rPr>
        <w:t>CEEGEX piacain</w:t>
      </w:r>
      <w:r w:rsidRPr="009E01EE">
        <w:rPr>
          <w:rStyle w:val="Finomkiemels"/>
        </w:rPr>
        <w:t>:</w:t>
      </w:r>
    </w:p>
    <w:p w:rsidR="00B84E07" w:rsidRPr="009E01EE" w:rsidRDefault="00B84E07" w:rsidP="00E339E3">
      <w:pPr>
        <w:pStyle w:val="Listaszerbekezds"/>
        <w:numPr>
          <w:ilvl w:val="0"/>
          <w:numId w:val="3"/>
        </w:numPr>
        <w:rPr>
          <w:rStyle w:val="Finomkiemels"/>
        </w:rPr>
      </w:pPr>
      <w:r w:rsidRPr="009E01EE">
        <w:rPr>
          <w:rStyle w:val="Finomkiemels"/>
        </w:rPr>
        <w:t>Market Maker-i kedvezmény</w:t>
      </w:r>
    </w:p>
    <w:p w:rsidR="00E339E3" w:rsidRPr="000F7930" w:rsidRDefault="00E339E3" w:rsidP="00B84E07"/>
    <w:p w:rsidR="00B84E07" w:rsidRPr="000F7930" w:rsidRDefault="00A80208" w:rsidP="00B84E07">
      <w:pPr>
        <w:rPr>
          <w:rStyle w:val="Kiemelsbordbold"/>
        </w:rPr>
      </w:pPr>
      <w:r w:rsidRPr="000F7930">
        <w:rPr>
          <w:rStyle w:val="Kiemelsbordbold"/>
        </w:rPr>
        <w:t xml:space="preserve">Market Maker </w:t>
      </w:r>
      <w:r>
        <w:rPr>
          <w:rStyle w:val="Kiemelsbordbold"/>
        </w:rPr>
        <w:t>discount</w:t>
      </w:r>
      <w:r w:rsidRPr="000F7930">
        <w:rPr>
          <w:rStyle w:val="Kiemelsbordbold"/>
        </w:rPr>
        <w:t xml:space="preserve"> </w:t>
      </w:r>
      <w:r>
        <w:rPr>
          <w:rStyle w:val="Kiemelsbordbold"/>
        </w:rPr>
        <w:t xml:space="preserve">/ </w:t>
      </w:r>
      <w:r w:rsidR="00B84E07" w:rsidRPr="005A05C7">
        <w:rPr>
          <w:rStyle w:val="Kiemelsbordbold"/>
          <w:color w:val="808080" w:themeColor="background1" w:themeShade="80"/>
        </w:rPr>
        <w:t>Ma</w:t>
      </w:r>
      <w:r w:rsidRPr="005A05C7">
        <w:rPr>
          <w:rStyle w:val="Kiemelsbordbold"/>
          <w:color w:val="808080" w:themeColor="background1" w:themeShade="80"/>
        </w:rPr>
        <w:t>rket Maker-i kedvezmény</w:t>
      </w:r>
    </w:p>
    <w:p w:rsidR="008B4157" w:rsidRDefault="00EB367F" w:rsidP="008B4157">
      <w:pPr>
        <w:rPr>
          <w:rStyle w:val="Finomkiemels"/>
        </w:rPr>
      </w:pPr>
      <w:r w:rsidRPr="000F7930">
        <w:t xml:space="preserve">Besides the general Market Maker conditions detailed in the </w:t>
      </w:r>
      <w:r w:rsidR="006819DB">
        <w:t>CEEGEX</w:t>
      </w:r>
      <w:r w:rsidRPr="000F7930">
        <w:t xml:space="preserve"> Market Rules</w:t>
      </w:r>
      <w:r w:rsidR="006819DB">
        <w:t xml:space="preserve"> and in the present Market Notice</w:t>
      </w:r>
      <w:r w:rsidRPr="000F7930">
        <w:t>, all further specifications regarding the conditions and the discounts are elaborated in the Market Maker Agreement.</w:t>
      </w:r>
      <w:r w:rsidR="008B4157" w:rsidRPr="008B4157">
        <w:rPr>
          <w:rStyle w:val="Finomkiemels"/>
        </w:rPr>
        <w:t xml:space="preserve"> </w:t>
      </w:r>
    </w:p>
    <w:p w:rsidR="008B4157" w:rsidRDefault="008B4157" w:rsidP="008B4157">
      <w:pPr>
        <w:rPr>
          <w:rStyle w:val="Finomkiemels"/>
        </w:rPr>
      </w:pPr>
      <w:r>
        <w:rPr>
          <w:rStyle w:val="Finomkiemels"/>
        </w:rPr>
        <w:t>A</w:t>
      </w:r>
      <w:r w:rsidRPr="00A80208">
        <w:rPr>
          <w:rStyle w:val="Finomkiemels"/>
        </w:rPr>
        <w:t xml:space="preserve"> </w:t>
      </w:r>
      <w:r>
        <w:rPr>
          <w:rStyle w:val="Finomkiemels"/>
        </w:rPr>
        <w:t>CEEGEX</w:t>
      </w:r>
      <w:r w:rsidRPr="00A80208">
        <w:rPr>
          <w:rStyle w:val="Finomkiemels"/>
        </w:rPr>
        <w:t xml:space="preserve"> Piaci Szabályzatában </w:t>
      </w:r>
      <w:r>
        <w:rPr>
          <w:rStyle w:val="Finomkiemels"/>
        </w:rPr>
        <w:t xml:space="preserve">és a jelen Piaci Hirdetményben </w:t>
      </w:r>
      <w:r w:rsidRPr="00A80208">
        <w:rPr>
          <w:rStyle w:val="Finomkiemels"/>
        </w:rPr>
        <w:t>lévő általános kereteken felül az erre vonatkozó feltételek és kedvezmények a Market Maker-i szerződésben kerülnek meghatározásra.</w:t>
      </w:r>
    </w:p>
    <w:p w:rsidR="00EB367F" w:rsidRDefault="00EB367F" w:rsidP="00EB367F"/>
    <w:p w:rsidR="00B96683" w:rsidRDefault="00B96683" w:rsidP="00EB367F">
      <w:r>
        <w:t>A Market Maker Agreement is to be signed for the CEEGEX Day-Ahead Market (DAM) and the CEEGEX Physical Futures Market (PhF) separately.</w:t>
      </w:r>
    </w:p>
    <w:p w:rsidR="00A80208" w:rsidRDefault="00A80208" w:rsidP="00EB367F">
      <w:r>
        <w:t>The Market Maker should fulfill the following conditions:</w:t>
      </w:r>
    </w:p>
    <w:p w:rsidR="00A80208" w:rsidRDefault="001E56ED" w:rsidP="00B96683">
      <w:pPr>
        <w:pStyle w:val="Listaszerbekezds"/>
        <w:numPr>
          <w:ilvl w:val="0"/>
          <w:numId w:val="4"/>
        </w:numPr>
      </w:pPr>
      <w:r>
        <w:t>Quoting a</w:t>
      </w:r>
      <w:r w:rsidR="00D40BBB">
        <w:t xml:space="preserve"> minimum number of</w:t>
      </w:r>
      <w:r>
        <w:t xml:space="preserve"> product</w:t>
      </w:r>
      <w:r w:rsidR="00D40BBB">
        <w:t>s</w:t>
      </w:r>
      <w:r>
        <w:t xml:space="preserve"> per CEEGEX market</w:t>
      </w:r>
    </w:p>
    <w:p w:rsidR="001E56ED" w:rsidRDefault="001E56ED" w:rsidP="00B96683">
      <w:pPr>
        <w:pStyle w:val="Listaszerbekezds"/>
        <w:numPr>
          <w:ilvl w:val="0"/>
          <w:numId w:val="4"/>
        </w:numPr>
      </w:pPr>
      <w:r>
        <w:t>Quoting on each trading day with a minimum presence</w:t>
      </w:r>
    </w:p>
    <w:p w:rsidR="001E56ED" w:rsidRDefault="001E56ED" w:rsidP="00B96683">
      <w:pPr>
        <w:pStyle w:val="Listaszerbekezds"/>
        <w:numPr>
          <w:ilvl w:val="0"/>
          <w:numId w:val="4"/>
        </w:numPr>
      </w:pPr>
      <w:r>
        <w:t>Quoting a minimum quantity continuously</w:t>
      </w:r>
    </w:p>
    <w:p w:rsidR="000B7DEC" w:rsidRDefault="001E56ED" w:rsidP="00C052B2">
      <w:pPr>
        <w:pStyle w:val="Listaszerbekezds"/>
        <w:numPr>
          <w:ilvl w:val="0"/>
          <w:numId w:val="4"/>
        </w:numPr>
      </w:pPr>
      <w:r>
        <w:t xml:space="preserve">Quoting with a </w:t>
      </w:r>
      <w:r w:rsidR="00A012B6">
        <w:t>maximum</w:t>
      </w:r>
      <w:r>
        <w:t xml:space="preserve"> spread between the bid and ask sides</w:t>
      </w:r>
    </w:p>
    <w:p w:rsidR="00652F83" w:rsidRDefault="00652F83" w:rsidP="00652F83">
      <w:r>
        <w:t>The Market Maker discount covers:</w:t>
      </w:r>
    </w:p>
    <w:p w:rsidR="00652F83" w:rsidRPr="00652F83" w:rsidRDefault="000B7DEC" w:rsidP="00652F83">
      <w:pPr>
        <w:pStyle w:val="Listaszerbekezds"/>
        <w:numPr>
          <w:ilvl w:val="0"/>
          <w:numId w:val="4"/>
        </w:numPr>
      </w:pPr>
      <w:r>
        <w:t xml:space="preserve">More levels of </w:t>
      </w:r>
      <w:r w:rsidR="00652F83">
        <w:t>fee discount</w:t>
      </w:r>
    </w:p>
    <w:p w:rsidR="00A012B6" w:rsidRDefault="00A012B6" w:rsidP="00A012B6">
      <w:pPr>
        <w:rPr>
          <w:rStyle w:val="Finomkiemels"/>
        </w:rPr>
      </w:pPr>
      <w:r w:rsidRPr="00C30EE3">
        <w:rPr>
          <w:rStyle w:val="Finomkiemels"/>
        </w:rPr>
        <w:t>A Market Maker-i szerződés a CEEGEX Másnapi (DAM) és</w:t>
      </w:r>
      <w:r>
        <w:rPr>
          <w:rStyle w:val="Finomkiemels"/>
        </w:rPr>
        <w:t xml:space="preserve"> </w:t>
      </w:r>
      <w:r w:rsidR="00355993" w:rsidRPr="00355993">
        <w:rPr>
          <w:rStyle w:val="Finomkiemels"/>
        </w:rPr>
        <w:t xml:space="preserve">Hosszútávú Fizikai Szállítású </w:t>
      </w:r>
      <w:r w:rsidRPr="00C30EE3">
        <w:rPr>
          <w:rStyle w:val="Finomkiemels"/>
        </w:rPr>
        <w:t>(PhF) piacára külön megkötendő.</w:t>
      </w:r>
    </w:p>
    <w:p w:rsidR="00A012B6" w:rsidRDefault="00A012B6" w:rsidP="00A012B6">
      <w:pPr>
        <w:rPr>
          <w:rStyle w:val="Finomkiemels"/>
        </w:rPr>
      </w:pPr>
      <w:r>
        <w:rPr>
          <w:rStyle w:val="Finomkiemels"/>
        </w:rPr>
        <w:t>A Market Maker</w:t>
      </w:r>
      <w:r w:rsidR="00073CAA">
        <w:rPr>
          <w:rStyle w:val="Finomkiemels"/>
        </w:rPr>
        <w:t>-</w:t>
      </w:r>
      <w:r>
        <w:rPr>
          <w:rStyle w:val="Finomkiemels"/>
        </w:rPr>
        <w:t>nek a következő feltételeket kell teljesítenie:</w:t>
      </w:r>
    </w:p>
    <w:p w:rsidR="00A012B6" w:rsidRDefault="00A012B6" w:rsidP="00A012B6">
      <w:pPr>
        <w:pStyle w:val="Listaszerbekezds"/>
        <w:numPr>
          <w:ilvl w:val="0"/>
          <w:numId w:val="5"/>
        </w:numPr>
        <w:rPr>
          <w:rStyle w:val="Finomkiemels"/>
        </w:rPr>
      </w:pPr>
      <w:r>
        <w:rPr>
          <w:rStyle w:val="Finomkiemels"/>
        </w:rPr>
        <w:t xml:space="preserve">Minimum </w:t>
      </w:r>
      <w:r w:rsidR="00D40BBB">
        <w:rPr>
          <w:rStyle w:val="Finomkiemels"/>
        </w:rPr>
        <w:t xml:space="preserve">számú </w:t>
      </w:r>
      <w:r>
        <w:rPr>
          <w:rStyle w:val="Finomkiemels"/>
        </w:rPr>
        <w:t>termék jegyzése a CEEGEX piacán</w:t>
      </w:r>
    </w:p>
    <w:p w:rsidR="00A012B6" w:rsidRDefault="00A012B6" w:rsidP="00A012B6">
      <w:pPr>
        <w:pStyle w:val="Listaszerbekezds"/>
        <w:numPr>
          <w:ilvl w:val="0"/>
          <w:numId w:val="5"/>
        </w:numPr>
        <w:rPr>
          <w:rStyle w:val="Finomkiemels"/>
        </w:rPr>
      </w:pPr>
      <w:r>
        <w:rPr>
          <w:rStyle w:val="Finomkiemels"/>
        </w:rPr>
        <w:t>Meghatározott minimális napi jelenlét jegyzése minden kereskedési napon</w:t>
      </w:r>
    </w:p>
    <w:p w:rsidR="00A012B6" w:rsidRDefault="00A012B6" w:rsidP="00A012B6">
      <w:pPr>
        <w:pStyle w:val="Listaszerbekezds"/>
        <w:numPr>
          <w:ilvl w:val="0"/>
          <w:numId w:val="5"/>
        </w:numPr>
        <w:rPr>
          <w:rStyle w:val="Finomkiemels"/>
        </w:rPr>
      </w:pPr>
      <w:r>
        <w:rPr>
          <w:rStyle w:val="Finomkiemels"/>
        </w:rPr>
        <w:t>Meghatározott minimális mennyiség folyamatos jegyzése</w:t>
      </w:r>
    </w:p>
    <w:p w:rsidR="00A012B6" w:rsidRDefault="00A012B6" w:rsidP="00A012B6">
      <w:pPr>
        <w:pStyle w:val="Listaszerbekezds"/>
        <w:numPr>
          <w:ilvl w:val="0"/>
          <w:numId w:val="5"/>
        </w:numPr>
        <w:rPr>
          <w:rStyle w:val="Finomkiemels"/>
        </w:rPr>
      </w:pPr>
      <w:r>
        <w:rPr>
          <w:rStyle w:val="Finomkiemels"/>
        </w:rPr>
        <w:t>Meghatározott maximális spread jegyzése az ajánlati és az eladói oldal között</w:t>
      </w:r>
    </w:p>
    <w:p w:rsidR="00721BCD" w:rsidRDefault="00B84E07" w:rsidP="00B84E07">
      <w:pPr>
        <w:rPr>
          <w:rStyle w:val="Finomkiemels"/>
        </w:rPr>
      </w:pPr>
      <w:r w:rsidRPr="007404AC">
        <w:rPr>
          <w:rStyle w:val="Finomkiemels"/>
        </w:rPr>
        <w:t>A</w:t>
      </w:r>
      <w:r w:rsidR="00A012B6">
        <w:rPr>
          <w:rStyle w:val="Finomkiemels"/>
        </w:rPr>
        <w:t xml:space="preserve"> M</w:t>
      </w:r>
      <w:r w:rsidR="008B4157" w:rsidRPr="007404AC">
        <w:rPr>
          <w:rStyle w:val="Finomkiemels"/>
        </w:rPr>
        <w:t xml:space="preserve">arket </w:t>
      </w:r>
      <w:r w:rsidR="00A012B6">
        <w:rPr>
          <w:rStyle w:val="Finomkiemels"/>
        </w:rPr>
        <w:t>M</w:t>
      </w:r>
      <w:r w:rsidR="008B4157" w:rsidRPr="007404AC">
        <w:rPr>
          <w:rStyle w:val="Finomkiemels"/>
        </w:rPr>
        <w:t>aker-i kedvezmény a következőket</w:t>
      </w:r>
      <w:r w:rsidR="00A012B6" w:rsidRPr="00A012B6">
        <w:rPr>
          <w:rStyle w:val="Finomkiemels"/>
        </w:rPr>
        <w:t xml:space="preserve"> </w:t>
      </w:r>
      <w:r w:rsidR="00A012B6" w:rsidRPr="007404AC">
        <w:rPr>
          <w:rStyle w:val="Finomkiemels"/>
        </w:rPr>
        <w:t>fedi</w:t>
      </w:r>
      <w:r w:rsidR="00A012B6">
        <w:rPr>
          <w:rStyle w:val="Finomkiemels"/>
        </w:rPr>
        <w:t xml:space="preserve"> le</w:t>
      </w:r>
      <w:r w:rsidR="008B4157" w:rsidRPr="007404AC">
        <w:rPr>
          <w:rStyle w:val="Finomkiemels"/>
        </w:rPr>
        <w:t>:</w:t>
      </w:r>
    </w:p>
    <w:p w:rsidR="00652F83" w:rsidRPr="00652F83" w:rsidRDefault="000B7DEC" w:rsidP="00652F83">
      <w:pPr>
        <w:pStyle w:val="Listaszerbekezds"/>
        <w:numPr>
          <w:ilvl w:val="0"/>
          <w:numId w:val="5"/>
        </w:numPr>
        <w:rPr>
          <w:rStyle w:val="Finomkiemels"/>
        </w:rPr>
      </w:pPr>
      <w:r>
        <w:rPr>
          <w:rStyle w:val="Finomkiemels"/>
        </w:rPr>
        <w:t>Több szintű</w:t>
      </w:r>
      <w:r w:rsidR="00652F83" w:rsidRPr="00652F83">
        <w:rPr>
          <w:rStyle w:val="Finomkiemels"/>
        </w:rPr>
        <w:t xml:space="preserve"> </w:t>
      </w:r>
      <w:r w:rsidR="007404AC" w:rsidRPr="00652F83">
        <w:rPr>
          <w:rStyle w:val="Finomkiemels"/>
        </w:rPr>
        <w:t>díjkedvezmény</w:t>
      </w:r>
    </w:p>
    <w:p w:rsidR="00B84E07" w:rsidRPr="000F7930" w:rsidRDefault="00B84E07" w:rsidP="00B84E07"/>
    <w:p w:rsidR="00B84E07" w:rsidRPr="000F7930" w:rsidRDefault="00B84E07" w:rsidP="007F48DB">
      <w:pPr>
        <w:spacing w:after="240"/>
        <w:rPr>
          <w:rStyle w:val="Kiemelsbordbold"/>
        </w:rPr>
      </w:pPr>
      <w:r w:rsidRPr="000F7930">
        <w:rPr>
          <w:rStyle w:val="Kiemelsbordbold"/>
        </w:rPr>
        <w:t>1.</w:t>
      </w:r>
      <w:r w:rsidR="00614699">
        <w:rPr>
          <w:rStyle w:val="Kiemelsbordbold"/>
        </w:rPr>
        <w:t>5</w:t>
      </w:r>
      <w:r w:rsidRPr="000F7930">
        <w:rPr>
          <w:rStyle w:val="Kiemelsbordbold"/>
        </w:rPr>
        <w:tab/>
        <w:t>Other administrative fees</w:t>
      </w:r>
      <w:r w:rsidR="007404AC" w:rsidRPr="007404AC">
        <w:rPr>
          <w:rStyle w:val="Kiemelsbordbold"/>
        </w:rPr>
        <w:t xml:space="preserve"> </w:t>
      </w:r>
      <w:r w:rsidR="007404AC" w:rsidRPr="000F7930">
        <w:rPr>
          <w:rStyle w:val="Kiemelsbordbold"/>
        </w:rPr>
        <w:t xml:space="preserve">/ </w:t>
      </w:r>
      <w:r w:rsidR="007404AC" w:rsidRPr="005A05C7">
        <w:rPr>
          <w:rStyle w:val="Kiemelsbordbold"/>
          <w:color w:val="808080" w:themeColor="background1" w:themeShade="80"/>
        </w:rPr>
        <w:t>Egyéb adminisztratív díjak</w:t>
      </w:r>
    </w:p>
    <w:p w:rsidR="007404AC" w:rsidRPr="000E15DA" w:rsidRDefault="007404AC" w:rsidP="000E15DA">
      <w:pPr>
        <w:rPr>
          <w:rStyle w:val="Kiemelsbordbold"/>
        </w:rPr>
      </w:pPr>
      <w:r w:rsidRPr="000E15DA">
        <w:rPr>
          <w:rStyle w:val="Kiemelsbordbold"/>
        </w:rPr>
        <w:t xml:space="preserve">Fees </w:t>
      </w:r>
      <w:r w:rsidR="00A012B6">
        <w:rPr>
          <w:rStyle w:val="Kiemelsbordbold"/>
        </w:rPr>
        <w:t>for order entry or cancellation</w:t>
      </w:r>
      <w:r w:rsidRPr="000E15DA">
        <w:rPr>
          <w:rStyle w:val="Kiemelsbordbold"/>
        </w:rPr>
        <w:t xml:space="preserve"> / </w:t>
      </w:r>
      <w:r w:rsidRPr="005A05C7">
        <w:rPr>
          <w:rStyle w:val="Kiemelsbordbold"/>
          <w:i/>
          <w:iCs/>
          <w:color w:val="808080" w:themeColor="background1" w:themeShade="80"/>
        </w:rPr>
        <w:t>Ajánlat beadás és törlés igényének díja</w:t>
      </w:r>
      <w:r w:rsidRPr="005A05C7">
        <w:rPr>
          <w:rStyle w:val="Kiemelsbordbold"/>
          <w:color w:val="808080" w:themeColor="background1" w:themeShade="80"/>
        </w:rPr>
        <w:t xml:space="preserve"> </w:t>
      </w:r>
    </w:p>
    <w:p w:rsidR="007404AC" w:rsidRDefault="007404AC" w:rsidP="00AD362F">
      <w:r w:rsidRPr="007404AC">
        <w:lastRenderedPageBreak/>
        <w:t xml:space="preserve">The administrative fees charged for having CEEGEX Ltd. enter or cancel an Order at a Member's request shall be EUR 50 per Order cancelled or entered. </w:t>
      </w:r>
    </w:p>
    <w:p w:rsidR="007404AC" w:rsidRPr="007404AC" w:rsidRDefault="007404AC" w:rsidP="00AD362F">
      <w:r w:rsidRPr="007404AC">
        <w:t xml:space="preserve">These fees apply only to the </w:t>
      </w:r>
      <w:r w:rsidR="00355993">
        <w:t>P</w:t>
      </w:r>
      <w:r w:rsidRPr="007404AC">
        <w:t>arty requesting the entering or cancellation. The fees mentioned in this article are invoiced quarterly and are included in the invoices.</w:t>
      </w:r>
    </w:p>
    <w:p w:rsidR="007404AC" w:rsidRPr="007404AC" w:rsidRDefault="007404AC" w:rsidP="00AD362F">
      <w:pPr>
        <w:rPr>
          <w:rStyle w:val="Finomkiemels"/>
        </w:rPr>
      </w:pPr>
      <w:r w:rsidRPr="007404AC">
        <w:rPr>
          <w:rStyle w:val="Finomkiemels"/>
        </w:rPr>
        <w:t xml:space="preserve">A Tag kérésére </w:t>
      </w:r>
      <w:r w:rsidR="00A012B6">
        <w:rPr>
          <w:rStyle w:val="Finomkiemels"/>
        </w:rPr>
        <w:t>a</w:t>
      </w:r>
      <w:r w:rsidRPr="007404AC">
        <w:rPr>
          <w:rStyle w:val="Finomkiemels"/>
        </w:rPr>
        <w:t xml:space="preserve"> CEEGEX Zrt. által történő Ajánlat benyújtásért vagy törlésért alkalmanként 50 euró adminisztrációs díj kerül felszámításra.</w:t>
      </w:r>
    </w:p>
    <w:p w:rsidR="009F021B" w:rsidRPr="007404AC" w:rsidRDefault="009F021B" w:rsidP="00AD362F">
      <w:pPr>
        <w:rPr>
          <w:rStyle w:val="Finomkiemels"/>
        </w:rPr>
      </w:pPr>
      <w:r w:rsidRPr="007404AC">
        <w:rPr>
          <w:rStyle w:val="Finomkiemels"/>
        </w:rPr>
        <w:t xml:space="preserve">Ezek a díjak kizárólag a benyújtást vagy törlést kérő fél részére kerülnek felszámításra. A jelen bekezdésben említett díjak negyedévente kerülnek kiszámlázásra és a vonatkozó rendes számlán kerülnek feltüntetésre. </w:t>
      </w:r>
    </w:p>
    <w:p w:rsidR="009F021B" w:rsidRDefault="009F021B" w:rsidP="00AD362F">
      <w:pPr>
        <w:pStyle w:val="Default"/>
        <w:jc w:val="both"/>
        <w:rPr>
          <w:b/>
          <w:bCs/>
          <w:sz w:val="22"/>
          <w:szCs w:val="22"/>
        </w:rPr>
      </w:pPr>
    </w:p>
    <w:p w:rsidR="009F021B" w:rsidRPr="005A05C7" w:rsidRDefault="007404AC" w:rsidP="00AD362F">
      <w:pPr>
        <w:rPr>
          <w:rStyle w:val="Kiemelsbordbold"/>
          <w:color w:val="808080" w:themeColor="background1" w:themeShade="80"/>
        </w:rPr>
      </w:pPr>
      <w:r w:rsidRPr="000E15DA">
        <w:rPr>
          <w:rStyle w:val="Kiemelsbordbold"/>
        </w:rPr>
        <w:t>Fees for membership related administrative issues</w:t>
      </w:r>
      <w:r w:rsidR="000E15DA">
        <w:rPr>
          <w:rStyle w:val="Kiemelsbordbold"/>
        </w:rPr>
        <w:t xml:space="preserve"> /</w:t>
      </w:r>
      <w:r w:rsidR="00A012B6">
        <w:rPr>
          <w:rStyle w:val="Kiemelsbordbold"/>
        </w:rPr>
        <w:t xml:space="preserve"> </w:t>
      </w:r>
      <w:r w:rsidR="009F021B" w:rsidRPr="005A05C7">
        <w:rPr>
          <w:rStyle w:val="Kiemelsbordbold"/>
          <w:i/>
          <w:iCs/>
          <w:color w:val="808080" w:themeColor="background1" w:themeShade="80"/>
        </w:rPr>
        <w:t>Tagsággal kapcsolatos ügyintézés adminisztrációs díja</w:t>
      </w:r>
      <w:r w:rsidR="009F021B" w:rsidRPr="005A05C7">
        <w:rPr>
          <w:rStyle w:val="Kiemelsbordbold"/>
          <w:color w:val="808080" w:themeColor="background1" w:themeShade="80"/>
        </w:rPr>
        <w:t xml:space="preserve"> </w:t>
      </w:r>
    </w:p>
    <w:p w:rsidR="007404AC" w:rsidRPr="00A012B6" w:rsidRDefault="009F021B" w:rsidP="00A012B6">
      <w:pPr>
        <w:rPr>
          <w:i/>
          <w:iCs/>
        </w:rPr>
      </w:pPr>
      <w:r w:rsidRPr="00A012B6">
        <w:t xml:space="preserve">In relation to </w:t>
      </w:r>
      <w:r w:rsidR="00CC5C54">
        <w:t xml:space="preserve">CEEGEX </w:t>
      </w:r>
      <w:r w:rsidRPr="00A012B6">
        <w:t xml:space="preserve">Market Rules, the administrative fees charged for any membership related requests after prior written approval of </w:t>
      </w:r>
      <w:r w:rsidR="00B67469" w:rsidRPr="00A012B6">
        <w:t>CEEGEX</w:t>
      </w:r>
      <w:r w:rsidRPr="00A012B6">
        <w:t xml:space="preserve"> Ltd. shall be EUR 1 000 per request.</w:t>
      </w:r>
      <w:r w:rsidR="007404AC" w:rsidRPr="00A012B6">
        <w:rPr>
          <w:i/>
          <w:iCs/>
        </w:rPr>
        <w:t xml:space="preserve"> </w:t>
      </w:r>
    </w:p>
    <w:p w:rsidR="00250333" w:rsidRPr="000F7930" w:rsidRDefault="007404AC" w:rsidP="00C052B2">
      <w:r w:rsidRPr="009456C6">
        <w:rPr>
          <w:rStyle w:val="Finomkiemels"/>
        </w:rPr>
        <w:t xml:space="preserve">A </w:t>
      </w:r>
      <w:r w:rsidR="00814598">
        <w:rPr>
          <w:rStyle w:val="Finomkiemels"/>
        </w:rPr>
        <w:t xml:space="preserve">CEEGEX </w:t>
      </w:r>
      <w:r w:rsidRPr="009456C6">
        <w:rPr>
          <w:rStyle w:val="Finomkiemels"/>
        </w:rPr>
        <w:t>Piaci Szabályzat értelmében a CEEGEX Zrt. minden, általa írásban jóváhagyott tagsággal kapcsolatos igény után 1</w:t>
      </w:r>
      <w:r w:rsidR="00A012B6">
        <w:rPr>
          <w:rStyle w:val="Finomkiemels"/>
        </w:rPr>
        <w:t> </w:t>
      </w:r>
      <w:r w:rsidRPr="009456C6">
        <w:rPr>
          <w:rStyle w:val="Finomkiemels"/>
        </w:rPr>
        <w:t xml:space="preserve">000 euró adminisztratív díjat számláz ki az igénylő tagnak. </w:t>
      </w:r>
    </w:p>
    <w:sectPr w:rsidR="00250333" w:rsidRPr="000F7930" w:rsidSect="00250333">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28" w:rsidRDefault="00A80428" w:rsidP="009E7026">
      <w:pPr>
        <w:spacing w:after="0" w:line="240" w:lineRule="auto"/>
      </w:pPr>
      <w:r>
        <w:separator/>
      </w:r>
    </w:p>
  </w:endnote>
  <w:endnote w:type="continuationSeparator" w:id="0">
    <w:p w:rsidR="00A80428" w:rsidRDefault="00A80428" w:rsidP="009E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28" w:rsidRDefault="00A80428" w:rsidP="00FA4825">
    <w:pPr>
      <w:pStyle w:val="llb"/>
      <w:jc w:val="center"/>
    </w:pPr>
    <w:r>
      <w:rPr>
        <w:noProof/>
        <w:lang w:eastAsia="hu-HU"/>
      </w:rPr>
      <w:drawing>
        <wp:anchor distT="0" distB="0" distL="114300" distR="114300" simplePos="0" relativeHeight="251659264" behindDoc="0" locked="0" layoutInCell="1" allowOverlap="1" wp14:anchorId="3CAF55F0" wp14:editId="2D80BB05">
          <wp:simplePos x="0" y="0"/>
          <wp:positionH relativeFrom="column">
            <wp:posOffset>4389755</wp:posOffset>
          </wp:positionH>
          <wp:positionV relativeFrom="paragraph">
            <wp:posOffset>-67945</wp:posOffset>
          </wp:positionV>
          <wp:extent cx="1720850" cy="24765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9806" b="13698"/>
                  <a:stretch/>
                </pic:blipFill>
                <pic:spPr bwMode="auto">
                  <a:xfrm>
                    <a:off x="0" y="0"/>
                    <a:ext cx="1720850" cy="247650"/>
                  </a:xfrm>
                  <a:prstGeom prst="rect">
                    <a:avLst/>
                  </a:prstGeom>
                  <a:noFill/>
                  <a:ln>
                    <a:noFill/>
                  </a:ln>
                  <a:extLst>
                    <a:ext uri="{53640926-AAD7-44D8-BBD7-CCE9431645EC}">
                      <a14:shadowObscured xmlns:a14="http://schemas.microsoft.com/office/drawing/2010/main"/>
                    </a:ext>
                  </a:extLst>
                </pic:spPr>
              </pic:pic>
            </a:graphicData>
          </a:graphic>
        </wp:anchor>
      </w:drawing>
    </w:r>
    <w:r>
      <w:tab/>
    </w:r>
    <w:sdt>
      <w:sdtPr>
        <w:id w:val="1784617237"/>
        <w:docPartObj>
          <w:docPartGallery w:val="Page Numbers (Bottom of Page)"/>
          <w:docPartUnique/>
        </w:docPartObj>
      </w:sdtPr>
      <w:sdtEndPr/>
      <w:sdtContent>
        <w:r>
          <w:fldChar w:fldCharType="begin"/>
        </w:r>
        <w:r>
          <w:instrText>PAGE   \* MERGEFORMAT</w:instrText>
        </w:r>
        <w:r>
          <w:fldChar w:fldCharType="separate"/>
        </w:r>
        <w:r w:rsidR="00EE7166">
          <w:rPr>
            <w:noProof/>
          </w:rPr>
          <w:t>2</w:t>
        </w:r>
        <w:r>
          <w:rPr>
            <w:noProof/>
          </w:rPr>
          <w:fldChar w:fldCharType="end"/>
        </w:r>
        <w: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28" w:rsidRDefault="00A80428" w:rsidP="009E7026">
      <w:pPr>
        <w:spacing w:after="0" w:line="240" w:lineRule="auto"/>
      </w:pPr>
      <w:r>
        <w:separator/>
      </w:r>
    </w:p>
  </w:footnote>
  <w:footnote w:type="continuationSeparator" w:id="0">
    <w:p w:rsidR="00A80428" w:rsidRDefault="00A80428" w:rsidP="009E7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28" w:rsidRDefault="00A8042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28" w:rsidRDefault="00A80428">
    <w:pPr>
      <w:pStyle w:val="lfej"/>
    </w:pPr>
    <w:r>
      <w:rPr>
        <w:noProof/>
        <w:lang w:eastAsia="hu-HU"/>
      </w:rPr>
      <w:drawing>
        <wp:anchor distT="0" distB="0" distL="114300" distR="114300" simplePos="0" relativeHeight="251658240" behindDoc="0" locked="0" layoutInCell="1" allowOverlap="1" wp14:anchorId="3DB4172B" wp14:editId="40E99F58">
          <wp:simplePos x="0" y="0"/>
          <wp:positionH relativeFrom="column">
            <wp:posOffset>-394970</wp:posOffset>
          </wp:positionH>
          <wp:positionV relativeFrom="paragraph">
            <wp:posOffset>7620</wp:posOffset>
          </wp:positionV>
          <wp:extent cx="776605" cy="514350"/>
          <wp:effectExtent l="19050" t="0" r="4445" b="0"/>
          <wp:wrapNone/>
          <wp:docPr id="6" name="Kép 6" descr="X:\7.Communication\6. Corporate Design\Arculat\szimbólumok\arrow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7.Communication\6. Corporate Design\Arculat\szimbólumok\arrow_color.png"/>
                  <pic:cNvPicPr>
                    <a:picLocks noChangeAspect="1" noChangeArrowheads="1"/>
                  </pic:cNvPicPr>
                </pic:nvPicPr>
                <pic:blipFill>
                  <a:blip r:embed="rId1"/>
                  <a:srcRect/>
                  <a:stretch>
                    <a:fillRect/>
                  </a:stretch>
                </pic:blipFill>
                <pic:spPr bwMode="auto">
                  <a:xfrm>
                    <a:off x="0" y="0"/>
                    <a:ext cx="776605" cy="514350"/>
                  </a:xfrm>
                  <a:prstGeom prst="rect">
                    <a:avLst/>
                  </a:prstGeom>
                  <a:noFill/>
                  <a:ln w="9525">
                    <a:noFill/>
                    <a:miter lim="800000"/>
                    <a:headEnd/>
                    <a:tailEnd/>
                  </a:ln>
                </pic:spPr>
              </pic:pic>
            </a:graphicData>
          </a:graphic>
        </wp:anchor>
      </w:drawing>
    </w:r>
    <w:r>
      <w:tab/>
    </w:r>
    <w:r>
      <w:tab/>
    </w:r>
    <w:r>
      <w:rPr>
        <w:noProof/>
        <w:lang w:eastAsia="hu-HU"/>
      </w:rPr>
      <w:drawing>
        <wp:inline distT="0" distB="0" distL="0" distR="0" wp14:anchorId="5D92BAD3" wp14:editId="611611E8">
          <wp:extent cx="2047308" cy="519559"/>
          <wp:effectExtent l="19050" t="0" r="0" b="0"/>
          <wp:docPr id="7" name="Kép 5" descr="X:\7.Communication\6. Corporate Design\Arculat\szimbólumok\ceeg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7.Communication\6. Corporate Design\Arculat\szimbólumok\ceegex_logo.png"/>
                  <pic:cNvPicPr>
                    <a:picLocks noChangeAspect="1" noChangeArrowheads="1"/>
                  </pic:cNvPicPr>
                </pic:nvPicPr>
                <pic:blipFill>
                  <a:blip r:embed="rId2"/>
                  <a:srcRect/>
                  <a:stretch>
                    <a:fillRect/>
                  </a:stretch>
                </pic:blipFill>
                <pic:spPr bwMode="auto">
                  <a:xfrm>
                    <a:off x="0" y="0"/>
                    <a:ext cx="2047308" cy="519559"/>
                  </a:xfrm>
                  <a:prstGeom prst="rect">
                    <a:avLst/>
                  </a:prstGeom>
                  <a:noFill/>
                  <a:ln w="9525">
                    <a:noFill/>
                    <a:miter lim="800000"/>
                    <a:headEnd/>
                    <a:tailEnd/>
                  </a:ln>
                </pic:spPr>
              </pic:pic>
            </a:graphicData>
          </a:graphic>
        </wp:inline>
      </w:drawing>
    </w:r>
  </w:p>
  <w:p w:rsidR="00A80428" w:rsidRDefault="00A804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28" w:rsidRDefault="00A8042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5pt;height:33.5pt" o:bullet="t">
        <v:imagedata r:id="rId1" o:title="clip_image001"/>
      </v:shape>
    </w:pict>
  </w:numPicBullet>
  <w:numPicBullet w:numPicBulletId="1">
    <w:pict>
      <v:shape id="_x0000_i1027" type="#_x0000_t75" style="width:190.05pt;height:126.4pt" o:bullet="t">
        <v:imagedata r:id="rId2" o:title="arrow_color"/>
      </v:shape>
    </w:pict>
  </w:numPicBullet>
  <w:abstractNum w:abstractNumId="0">
    <w:nsid w:val="5A077CEC"/>
    <w:multiLevelType w:val="hybridMultilevel"/>
    <w:tmpl w:val="8348EB8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5CAC066E"/>
    <w:multiLevelType w:val="hybridMultilevel"/>
    <w:tmpl w:val="AE2ED182"/>
    <w:lvl w:ilvl="0" w:tplc="9FE0DB8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0613AAB"/>
    <w:multiLevelType w:val="hybridMultilevel"/>
    <w:tmpl w:val="C8781C6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64921065"/>
    <w:multiLevelType w:val="hybridMultilevel"/>
    <w:tmpl w:val="2B8E3C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596599E"/>
    <w:multiLevelType w:val="hybridMultilevel"/>
    <w:tmpl w:val="75D279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97"/>
    <w:rsid w:val="00017CDE"/>
    <w:rsid w:val="00034C0C"/>
    <w:rsid w:val="0005579A"/>
    <w:rsid w:val="00073CAA"/>
    <w:rsid w:val="0008505F"/>
    <w:rsid w:val="000B4523"/>
    <w:rsid w:val="000B72AF"/>
    <w:rsid w:val="000B7DEC"/>
    <w:rsid w:val="000C3ECA"/>
    <w:rsid w:val="000D140F"/>
    <w:rsid w:val="000E15DA"/>
    <w:rsid w:val="000F7930"/>
    <w:rsid w:val="00113B89"/>
    <w:rsid w:val="00151887"/>
    <w:rsid w:val="00162B36"/>
    <w:rsid w:val="00163F3E"/>
    <w:rsid w:val="001E56ED"/>
    <w:rsid w:val="00217CC4"/>
    <w:rsid w:val="00241D9F"/>
    <w:rsid w:val="00250333"/>
    <w:rsid w:val="00255BE0"/>
    <w:rsid w:val="002C55F3"/>
    <w:rsid w:val="002E359C"/>
    <w:rsid w:val="003135F6"/>
    <w:rsid w:val="00355993"/>
    <w:rsid w:val="00367A58"/>
    <w:rsid w:val="003830BD"/>
    <w:rsid w:val="00383139"/>
    <w:rsid w:val="004010A7"/>
    <w:rsid w:val="00406988"/>
    <w:rsid w:val="00437F6F"/>
    <w:rsid w:val="0051247A"/>
    <w:rsid w:val="00530EDE"/>
    <w:rsid w:val="00531F62"/>
    <w:rsid w:val="0053751C"/>
    <w:rsid w:val="0054192F"/>
    <w:rsid w:val="00560856"/>
    <w:rsid w:val="005756EC"/>
    <w:rsid w:val="00577318"/>
    <w:rsid w:val="005A05C7"/>
    <w:rsid w:val="005C5C1B"/>
    <w:rsid w:val="005F1AE5"/>
    <w:rsid w:val="005F73EF"/>
    <w:rsid w:val="00606D90"/>
    <w:rsid w:val="00614699"/>
    <w:rsid w:val="00640601"/>
    <w:rsid w:val="00652F83"/>
    <w:rsid w:val="0066037A"/>
    <w:rsid w:val="006634BE"/>
    <w:rsid w:val="006819DB"/>
    <w:rsid w:val="00696ED6"/>
    <w:rsid w:val="006A603E"/>
    <w:rsid w:val="006D17E1"/>
    <w:rsid w:val="006D2735"/>
    <w:rsid w:val="006E7CAE"/>
    <w:rsid w:val="0071585D"/>
    <w:rsid w:val="00721BCD"/>
    <w:rsid w:val="00724F13"/>
    <w:rsid w:val="007404AC"/>
    <w:rsid w:val="00764194"/>
    <w:rsid w:val="007656A2"/>
    <w:rsid w:val="00782F8A"/>
    <w:rsid w:val="0078720C"/>
    <w:rsid w:val="007B25EA"/>
    <w:rsid w:val="007E4D05"/>
    <w:rsid w:val="007F48DB"/>
    <w:rsid w:val="00814598"/>
    <w:rsid w:val="00814F87"/>
    <w:rsid w:val="00822B42"/>
    <w:rsid w:val="00843063"/>
    <w:rsid w:val="00851ECA"/>
    <w:rsid w:val="00873F4A"/>
    <w:rsid w:val="00886EA2"/>
    <w:rsid w:val="008B28C8"/>
    <w:rsid w:val="008B4157"/>
    <w:rsid w:val="008C7560"/>
    <w:rsid w:val="008D1933"/>
    <w:rsid w:val="009032E7"/>
    <w:rsid w:val="009456C6"/>
    <w:rsid w:val="00994357"/>
    <w:rsid w:val="009976FB"/>
    <w:rsid w:val="009E01EE"/>
    <w:rsid w:val="009E7026"/>
    <w:rsid w:val="009F021B"/>
    <w:rsid w:val="009F304A"/>
    <w:rsid w:val="009F58EA"/>
    <w:rsid w:val="00A012B6"/>
    <w:rsid w:val="00A07D53"/>
    <w:rsid w:val="00A30D18"/>
    <w:rsid w:val="00A35D46"/>
    <w:rsid w:val="00A46B98"/>
    <w:rsid w:val="00A80208"/>
    <w:rsid w:val="00A80428"/>
    <w:rsid w:val="00A83253"/>
    <w:rsid w:val="00AB4CAF"/>
    <w:rsid w:val="00AB6036"/>
    <w:rsid w:val="00AD362F"/>
    <w:rsid w:val="00B1217E"/>
    <w:rsid w:val="00B17CED"/>
    <w:rsid w:val="00B67469"/>
    <w:rsid w:val="00B84E07"/>
    <w:rsid w:val="00B961AF"/>
    <w:rsid w:val="00B96683"/>
    <w:rsid w:val="00BC0D0A"/>
    <w:rsid w:val="00BD483F"/>
    <w:rsid w:val="00BF0D0F"/>
    <w:rsid w:val="00BF7B29"/>
    <w:rsid w:val="00C052B2"/>
    <w:rsid w:val="00C05EE2"/>
    <w:rsid w:val="00C30EE3"/>
    <w:rsid w:val="00C33585"/>
    <w:rsid w:val="00C745DC"/>
    <w:rsid w:val="00CA7361"/>
    <w:rsid w:val="00CC5C54"/>
    <w:rsid w:val="00CE5356"/>
    <w:rsid w:val="00D20A59"/>
    <w:rsid w:val="00D37ADA"/>
    <w:rsid w:val="00D40BBB"/>
    <w:rsid w:val="00D57B97"/>
    <w:rsid w:val="00D7251B"/>
    <w:rsid w:val="00DA1887"/>
    <w:rsid w:val="00DA439A"/>
    <w:rsid w:val="00DB133D"/>
    <w:rsid w:val="00E332C8"/>
    <w:rsid w:val="00E339E3"/>
    <w:rsid w:val="00E731AA"/>
    <w:rsid w:val="00E75437"/>
    <w:rsid w:val="00EB367F"/>
    <w:rsid w:val="00EC078E"/>
    <w:rsid w:val="00EC68F9"/>
    <w:rsid w:val="00ED7A3A"/>
    <w:rsid w:val="00EE7166"/>
    <w:rsid w:val="00EF4BF6"/>
    <w:rsid w:val="00F10761"/>
    <w:rsid w:val="00F15DB2"/>
    <w:rsid w:val="00F55348"/>
    <w:rsid w:val="00F71734"/>
    <w:rsid w:val="00FA2EBA"/>
    <w:rsid w:val="00FA4825"/>
    <w:rsid w:val="00FE50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6036"/>
    <w:pPr>
      <w:spacing w:after="120" w:line="252" w:lineRule="auto"/>
      <w:jc w:val="both"/>
    </w:pPr>
    <w:rPr>
      <w:rFonts w:ascii="Arial"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9E7026"/>
    <w:rPr>
      <w:i/>
      <w:iCs/>
    </w:rPr>
  </w:style>
  <w:style w:type="character" w:styleId="Kiemels2">
    <w:name w:val="Strong"/>
    <w:basedOn w:val="Bekezdsalapbettpusa"/>
    <w:uiPriority w:val="22"/>
    <w:qFormat/>
    <w:rsid w:val="009E7026"/>
    <w:rPr>
      <w:b/>
      <w:bCs/>
    </w:rPr>
  </w:style>
  <w:style w:type="paragraph" w:styleId="lfej">
    <w:name w:val="header"/>
    <w:basedOn w:val="Norml"/>
    <w:link w:val="lfejChar"/>
    <w:uiPriority w:val="99"/>
    <w:unhideWhenUsed/>
    <w:rsid w:val="009E7026"/>
    <w:pPr>
      <w:tabs>
        <w:tab w:val="center" w:pos="4536"/>
        <w:tab w:val="right" w:pos="9072"/>
      </w:tabs>
      <w:spacing w:after="0" w:line="240" w:lineRule="auto"/>
    </w:pPr>
  </w:style>
  <w:style w:type="character" w:customStyle="1" w:styleId="lfejChar">
    <w:name w:val="Élőfej Char"/>
    <w:basedOn w:val="Bekezdsalapbettpusa"/>
    <w:link w:val="lfej"/>
    <w:uiPriority w:val="99"/>
    <w:rsid w:val="009E7026"/>
    <w:rPr>
      <w:rFonts w:ascii="Arial" w:hAnsi="Arial"/>
    </w:rPr>
  </w:style>
  <w:style w:type="paragraph" w:styleId="llb">
    <w:name w:val="footer"/>
    <w:basedOn w:val="Norml"/>
    <w:link w:val="llbChar"/>
    <w:uiPriority w:val="99"/>
    <w:unhideWhenUsed/>
    <w:rsid w:val="009E7026"/>
    <w:pPr>
      <w:tabs>
        <w:tab w:val="center" w:pos="4536"/>
        <w:tab w:val="right" w:pos="9072"/>
      </w:tabs>
      <w:spacing w:after="0" w:line="240" w:lineRule="auto"/>
    </w:pPr>
  </w:style>
  <w:style w:type="character" w:customStyle="1" w:styleId="llbChar">
    <w:name w:val="Élőláb Char"/>
    <w:basedOn w:val="Bekezdsalapbettpusa"/>
    <w:link w:val="llb"/>
    <w:uiPriority w:val="99"/>
    <w:rsid w:val="009E7026"/>
    <w:rPr>
      <w:rFonts w:ascii="Arial" w:hAnsi="Arial"/>
    </w:rPr>
  </w:style>
  <w:style w:type="paragraph" w:styleId="Buborkszveg">
    <w:name w:val="Balloon Text"/>
    <w:basedOn w:val="Norml"/>
    <w:link w:val="BuborkszvegChar"/>
    <w:uiPriority w:val="99"/>
    <w:semiHidden/>
    <w:unhideWhenUsed/>
    <w:rsid w:val="009E70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7026"/>
    <w:rPr>
      <w:rFonts w:ascii="Tahoma" w:hAnsi="Tahoma" w:cs="Tahoma"/>
      <w:sz w:val="16"/>
      <w:szCs w:val="16"/>
    </w:rPr>
  </w:style>
  <w:style w:type="character" w:customStyle="1" w:styleId="Kiemelsbord">
    <w:name w:val="Kiemelés bordó"/>
    <w:basedOn w:val="Bekezdsalapbettpusa"/>
    <w:uiPriority w:val="1"/>
    <w:qFormat/>
    <w:rsid w:val="007656A2"/>
    <w:rPr>
      <w:rFonts w:ascii="Arial" w:hAnsi="Arial"/>
      <w:color w:val="AA2454"/>
      <w:sz w:val="22"/>
    </w:rPr>
  </w:style>
  <w:style w:type="character" w:customStyle="1" w:styleId="Kiemelsbordbold">
    <w:name w:val="Kiemelés bordó+bold"/>
    <w:basedOn w:val="Kiemelsbord"/>
    <w:uiPriority w:val="1"/>
    <w:qFormat/>
    <w:rsid w:val="007656A2"/>
    <w:rPr>
      <w:rFonts w:ascii="Arial" w:hAnsi="Arial"/>
      <w:b/>
      <w:color w:val="AA2454"/>
      <w:sz w:val="22"/>
    </w:rPr>
  </w:style>
  <w:style w:type="paragraph" w:customStyle="1" w:styleId="Alcm1">
    <w:name w:val="Alcím1"/>
    <w:basedOn w:val="Norml"/>
    <w:qFormat/>
    <w:rsid w:val="00AB6036"/>
    <w:rPr>
      <w:b/>
      <w:color w:val="AA2454"/>
      <w:sz w:val="26"/>
    </w:rPr>
  </w:style>
  <w:style w:type="character" w:customStyle="1" w:styleId="Kiemelsszrke">
    <w:name w:val="Kiemelés szürke"/>
    <w:basedOn w:val="Bekezdsalapbettpusa"/>
    <w:uiPriority w:val="1"/>
    <w:qFormat/>
    <w:rsid w:val="00560856"/>
    <w:rPr>
      <w:rFonts w:ascii="Arial" w:hAnsi="Arial"/>
      <w:color w:val="5E5E5E"/>
      <w:sz w:val="22"/>
    </w:rPr>
  </w:style>
  <w:style w:type="paragraph" w:styleId="Listaszerbekezds">
    <w:name w:val="List Paragraph"/>
    <w:basedOn w:val="Norml"/>
    <w:uiPriority w:val="34"/>
    <w:qFormat/>
    <w:rsid w:val="00C33585"/>
    <w:pPr>
      <w:spacing w:before="120"/>
      <w:ind w:left="720"/>
    </w:pPr>
  </w:style>
  <w:style w:type="paragraph" w:customStyle="1" w:styleId="Normlbalra">
    <w:name w:val="Normál balra"/>
    <w:basedOn w:val="Norml"/>
    <w:qFormat/>
    <w:rsid w:val="00B84E07"/>
    <w:pPr>
      <w:spacing w:before="60" w:after="0" w:line="264" w:lineRule="auto"/>
      <w:jc w:val="left"/>
    </w:pPr>
    <w:rPr>
      <w:rFonts w:eastAsia="Times New Roman" w:cs="Times New Roman"/>
      <w:szCs w:val="24"/>
      <w:lang w:val="en-US" w:eastAsia="hu-HU"/>
    </w:rPr>
  </w:style>
  <w:style w:type="paragraph" w:customStyle="1" w:styleId="StlusNormlbalraFlkvr1httrKiskapitlis">
    <w:name w:val="Stílus Normál balra + Félkövér 1. háttér Kiskapitális"/>
    <w:basedOn w:val="Normlbalra"/>
    <w:rsid w:val="00B84E07"/>
    <w:pPr>
      <w:keepNext/>
    </w:pPr>
    <w:rPr>
      <w:b/>
      <w:bCs/>
      <w:smallCaps/>
      <w:color w:val="FFFFFF" w:themeColor="background1"/>
    </w:rPr>
  </w:style>
  <w:style w:type="character" w:styleId="Finomkiemels">
    <w:name w:val="Subtle Emphasis"/>
    <w:basedOn w:val="Bekezdsalapbettpusa"/>
    <w:uiPriority w:val="19"/>
    <w:qFormat/>
    <w:rsid w:val="009E01EE"/>
    <w:rPr>
      <w:i/>
      <w:iCs/>
      <w:color w:val="808080" w:themeColor="text1" w:themeTint="7F"/>
    </w:rPr>
  </w:style>
  <w:style w:type="paragraph" w:customStyle="1" w:styleId="Default">
    <w:name w:val="Default"/>
    <w:rsid w:val="009F021B"/>
    <w:pPr>
      <w:autoSpaceDE w:val="0"/>
      <w:autoSpaceDN w:val="0"/>
      <w:adjustRightInd w:val="0"/>
      <w:spacing w:after="0" w:line="240" w:lineRule="auto"/>
    </w:pPr>
    <w:rPr>
      <w:rFonts w:ascii="Arial" w:hAnsi="Arial" w:cs="Arial"/>
      <w:color w:val="000000"/>
      <w:sz w:val="24"/>
      <w:szCs w:val="24"/>
    </w:rPr>
  </w:style>
  <w:style w:type="character" w:styleId="Jegyzethivatkozs">
    <w:name w:val="annotation reference"/>
    <w:basedOn w:val="Bekezdsalapbettpusa"/>
    <w:uiPriority w:val="99"/>
    <w:semiHidden/>
    <w:unhideWhenUsed/>
    <w:rsid w:val="00B17CED"/>
    <w:rPr>
      <w:sz w:val="16"/>
      <w:szCs w:val="16"/>
    </w:rPr>
  </w:style>
  <w:style w:type="paragraph" w:styleId="Jegyzetszveg">
    <w:name w:val="annotation text"/>
    <w:basedOn w:val="Norml"/>
    <w:link w:val="JegyzetszvegChar"/>
    <w:uiPriority w:val="99"/>
    <w:semiHidden/>
    <w:unhideWhenUsed/>
    <w:rsid w:val="00B17CED"/>
    <w:pPr>
      <w:spacing w:line="240" w:lineRule="auto"/>
    </w:pPr>
    <w:rPr>
      <w:sz w:val="20"/>
      <w:szCs w:val="20"/>
    </w:rPr>
  </w:style>
  <w:style w:type="character" w:customStyle="1" w:styleId="JegyzetszvegChar">
    <w:name w:val="Jegyzetszöveg Char"/>
    <w:basedOn w:val="Bekezdsalapbettpusa"/>
    <w:link w:val="Jegyzetszveg"/>
    <w:uiPriority w:val="99"/>
    <w:semiHidden/>
    <w:rsid w:val="00B17CED"/>
    <w:rPr>
      <w:rFonts w:ascii="Arial" w:hAnsi="Arial"/>
      <w:sz w:val="20"/>
      <w:szCs w:val="20"/>
    </w:rPr>
  </w:style>
  <w:style w:type="paragraph" w:styleId="Megjegyzstrgya">
    <w:name w:val="annotation subject"/>
    <w:basedOn w:val="Jegyzetszveg"/>
    <w:next w:val="Jegyzetszveg"/>
    <w:link w:val="MegjegyzstrgyaChar"/>
    <w:uiPriority w:val="99"/>
    <w:semiHidden/>
    <w:unhideWhenUsed/>
    <w:rsid w:val="00B17CED"/>
    <w:rPr>
      <w:b/>
      <w:bCs/>
    </w:rPr>
  </w:style>
  <w:style w:type="character" w:customStyle="1" w:styleId="MegjegyzstrgyaChar">
    <w:name w:val="Megjegyzés tárgya Char"/>
    <w:basedOn w:val="JegyzetszvegChar"/>
    <w:link w:val="Megjegyzstrgya"/>
    <w:uiPriority w:val="99"/>
    <w:semiHidden/>
    <w:rsid w:val="00B17CED"/>
    <w:rPr>
      <w:rFonts w:ascii="Arial" w:hAnsi="Arial"/>
      <w:b/>
      <w:bCs/>
      <w:sz w:val="20"/>
      <w:szCs w:val="20"/>
    </w:rPr>
  </w:style>
  <w:style w:type="paragraph" w:styleId="Lbjegyzetszveg">
    <w:name w:val="footnote text"/>
    <w:basedOn w:val="Norml"/>
    <w:link w:val="LbjegyzetszvegChar"/>
    <w:uiPriority w:val="99"/>
    <w:unhideWhenUsed/>
    <w:rsid w:val="00B1217E"/>
    <w:pPr>
      <w:spacing w:after="0" w:line="240" w:lineRule="auto"/>
    </w:pPr>
    <w:rPr>
      <w:sz w:val="20"/>
      <w:szCs w:val="20"/>
    </w:rPr>
  </w:style>
  <w:style w:type="character" w:customStyle="1" w:styleId="LbjegyzetszvegChar">
    <w:name w:val="Lábjegyzetszöveg Char"/>
    <w:basedOn w:val="Bekezdsalapbettpusa"/>
    <w:link w:val="Lbjegyzetszveg"/>
    <w:uiPriority w:val="99"/>
    <w:rsid w:val="00B1217E"/>
    <w:rPr>
      <w:rFonts w:ascii="Arial" w:hAnsi="Arial"/>
      <w:sz w:val="20"/>
      <w:szCs w:val="20"/>
    </w:rPr>
  </w:style>
  <w:style w:type="character" w:styleId="Lbjegyzet-hivatkozs">
    <w:name w:val="footnote reference"/>
    <w:basedOn w:val="Bekezdsalapbettpusa"/>
    <w:uiPriority w:val="99"/>
    <w:semiHidden/>
    <w:unhideWhenUsed/>
    <w:rsid w:val="00B121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6036"/>
    <w:pPr>
      <w:spacing w:after="120" w:line="252" w:lineRule="auto"/>
      <w:jc w:val="both"/>
    </w:pPr>
    <w:rPr>
      <w:rFonts w:ascii="Arial"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9E7026"/>
    <w:rPr>
      <w:i/>
      <w:iCs/>
    </w:rPr>
  </w:style>
  <w:style w:type="character" w:styleId="Kiemels2">
    <w:name w:val="Strong"/>
    <w:basedOn w:val="Bekezdsalapbettpusa"/>
    <w:uiPriority w:val="22"/>
    <w:qFormat/>
    <w:rsid w:val="009E7026"/>
    <w:rPr>
      <w:b/>
      <w:bCs/>
    </w:rPr>
  </w:style>
  <w:style w:type="paragraph" w:styleId="lfej">
    <w:name w:val="header"/>
    <w:basedOn w:val="Norml"/>
    <w:link w:val="lfejChar"/>
    <w:uiPriority w:val="99"/>
    <w:unhideWhenUsed/>
    <w:rsid w:val="009E7026"/>
    <w:pPr>
      <w:tabs>
        <w:tab w:val="center" w:pos="4536"/>
        <w:tab w:val="right" w:pos="9072"/>
      </w:tabs>
      <w:spacing w:after="0" w:line="240" w:lineRule="auto"/>
    </w:pPr>
  </w:style>
  <w:style w:type="character" w:customStyle="1" w:styleId="lfejChar">
    <w:name w:val="Élőfej Char"/>
    <w:basedOn w:val="Bekezdsalapbettpusa"/>
    <w:link w:val="lfej"/>
    <w:uiPriority w:val="99"/>
    <w:rsid w:val="009E7026"/>
    <w:rPr>
      <w:rFonts w:ascii="Arial" w:hAnsi="Arial"/>
    </w:rPr>
  </w:style>
  <w:style w:type="paragraph" w:styleId="llb">
    <w:name w:val="footer"/>
    <w:basedOn w:val="Norml"/>
    <w:link w:val="llbChar"/>
    <w:uiPriority w:val="99"/>
    <w:unhideWhenUsed/>
    <w:rsid w:val="009E7026"/>
    <w:pPr>
      <w:tabs>
        <w:tab w:val="center" w:pos="4536"/>
        <w:tab w:val="right" w:pos="9072"/>
      </w:tabs>
      <w:spacing w:after="0" w:line="240" w:lineRule="auto"/>
    </w:pPr>
  </w:style>
  <w:style w:type="character" w:customStyle="1" w:styleId="llbChar">
    <w:name w:val="Élőláb Char"/>
    <w:basedOn w:val="Bekezdsalapbettpusa"/>
    <w:link w:val="llb"/>
    <w:uiPriority w:val="99"/>
    <w:rsid w:val="009E7026"/>
    <w:rPr>
      <w:rFonts w:ascii="Arial" w:hAnsi="Arial"/>
    </w:rPr>
  </w:style>
  <w:style w:type="paragraph" w:styleId="Buborkszveg">
    <w:name w:val="Balloon Text"/>
    <w:basedOn w:val="Norml"/>
    <w:link w:val="BuborkszvegChar"/>
    <w:uiPriority w:val="99"/>
    <w:semiHidden/>
    <w:unhideWhenUsed/>
    <w:rsid w:val="009E70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7026"/>
    <w:rPr>
      <w:rFonts w:ascii="Tahoma" w:hAnsi="Tahoma" w:cs="Tahoma"/>
      <w:sz w:val="16"/>
      <w:szCs w:val="16"/>
    </w:rPr>
  </w:style>
  <w:style w:type="character" w:customStyle="1" w:styleId="Kiemelsbord">
    <w:name w:val="Kiemelés bordó"/>
    <w:basedOn w:val="Bekezdsalapbettpusa"/>
    <w:uiPriority w:val="1"/>
    <w:qFormat/>
    <w:rsid w:val="007656A2"/>
    <w:rPr>
      <w:rFonts w:ascii="Arial" w:hAnsi="Arial"/>
      <w:color w:val="AA2454"/>
      <w:sz w:val="22"/>
    </w:rPr>
  </w:style>
  <w:style w:type="character" w:customStyle="1" w:styleId="Kiemelsbordbold">
    <w:name w:val="Kiemelés bordó+bold"/>
    <w:basedOn w:val="Kiemelsbord"/>
    <w:uiPriority w:val="1"/>
    <w:qFormat/>
    <w:rsid w:val="007656A2"/>
    <w:rPr>
      <w:rFonts w:ascii="Arial" w:hAnsi="Arial"/>
      <w:b/>
      <w:color w:val="AA2454"/>
      <w:sz w:val="22"/>
    </w:rPr>
  </w:style>
  <w:style w:type="paragraph" w:customStyle="1" w:styleId="Alcm1">
    <w:name w:val="Alcím1"/>
    <w:basedOn w:val="Norml"/>
    <w:qFormat/>
    <w:rsid w:val="00AB6036"/>
    <w:rPr>
      <w:b/>
      <w:color w:val="AA2454"/>
      <w:sz w:val="26"/>
    </w:rPr>
  </w:style>
  <w:style w:type="character" w:customStyle="1" w:styleId="Kiemelsszrke">
    <w:name w:val="Kiemelés szürke"/>
    <w:basedOn w:val="Bekezdsalapbettpusa"/>
    <w:uiPriority w:val="1"/>
    <w:qFormat/>
    <w:rsid w:val="00560856"/>
    <w:rPr>
      <w:rFonts w:ascii="Arial" w:hAnsi="Arial"/>
      <w:color w:val="5E5E5E"/>
      <w:sz w:val="22"/>
    </w:rPr>
  </w:style>
  <w:style w:type="paragraph" w:styleId="Listaszerbekezds">
    <w:name w:val="List Paragraph"/>
    <w:basedOn w:val="Norml"/>
    <w:uiPriority w:val="34"/>
    <w:qFormat/>
    <w:rsid w:val="00C33585"/>
    <w:pPr>
      <w:spacing w:before="120"/>
      <w:ind w:left="720"/>
    </w:pPr>
  </w:style>
  <w:style w:type="paragraph" w:customStyle="1" w:styleId="Normlbalra">
    <w:name w:val="Normál balra"/>
    <w:basedOn w:val="Norml"/>
    <w:qFormat/>
    <w:rsid w:val="00B84E07"/>
    <w:pPr>
      <w:spacing w:before="60" w:after="0" w:line="264" w:lineRule="auto"/>
      <w:jc w:val="left"/>
    </w:pPr>
    <w:rPr>
      <w:rFonts w:eastAsia="Times New Roman" w:cs="Times New Roman"/>
      <w:szCs w:val="24"/>
      <w:lang w:val="en-US" w:eastAsia="hu-HU"/>
    </w:rPr>
  </w:style>
  <w:style w:type="paragraph" w:customStyle="1" w:styleId="StlusNormlbalraFlkvr1httrKiskapitlis">
    <w:name w:val="Stílus Normál balra + Félkövér 1. háttér Kiskapitális"/>
    <w:basedOn w:val="Normlbalra"/>
    <w:rsid w:val="00B84E07"/>
    <w:pPr>
      <w:keepNext/>
    </w:pPr>
    <w:rPr>
      <w:b/>
      <w:bCs/>
      <w:smallCaps/>
      <w:color w:val="FFFFFF" w:themeColor="background1"/>
    </w:rPr>
  </w:style>
  <w:style w:type="character" w:styleId="Finomkiemels">
    <w:name w:val="Subtle Emphasis"/>
    <w:basedOn w:val="Bekezdsalapbettpusa"/>
    <w:uiPriority w:val="19"/>
    <w:qFormat/>
    <w:rsid w:val="009E01EE"/>
    <w:rPr>
      <w:i/>
      <w:iCs/>
      <w:color w:val="808080" w:themeColor="text1" w:themeTint="7F"/>
    </w:rPr>
  </w:style>
  <w:style w:type="paragraph" w:customStyle="1" w:styleId="Default">
    <w:name w:val="Default"/>
    <w:rsid w:val="009F021B"/>
    <w:pPr>
      <w:autoSpaceDE w:val="0"/>
      <w:autoSpaceDN w:val="0"/>
      <w:adjustRightInd w:val="0"/>
      <w:spacing w:after="0" w:line="240" w:lineRule="auto"/>
    </w:pPr>
    <w:rPr>
      <w:rFonts w:ascii="Arial" w:hAnsi="Arial" w:cs="Arial"/>
      <w:color w:val="000000"/>
      <w:sz w:val="24"/>
      <w:szCs w:val="24"/>
    </w:rPr>
  </w:style>
  <w:style w:type="character" w:styleId="Jegyzethivatkozs">
    <w:name w:val="annotation reference"/>
    <w:basedOn w:val="Bekezdsalapbettpusa"/>
    <w:uiPriority w:val="99"/>
    <w:semiHidden/>
    <w:unhideWhenUsed/>
    <w:rsid w:val="00B17CED"/>
    <w:rPr>
      <w:sz w:val="16"/>
      <w:szCs w:val="16"/>
    </w:rPr>
  </w:style>
  <w:style w:type="paragraph" w:styleId="Jegyzetszveg">
    <w:name w:val="annotation text"/>
    <w:basedOn w:val="Norml"/>
    <w:link w:val="JegyzetszvegChar"/>
    <w:uiPriority w:val="99"/>
    <w:semiHidden/>
    <w:unhideWhenUsed/>
    <w:rsid w:val="00B17CED"/>
    <w:pPr>
      <w:spacing w:line="240" w:lineRule="auto"/>
    </w:pPr>
    <w:rPr>
      <w:sz w:val="20"/>
      <w:szCs w:val="20"/>
    </w:rPr>
  </w:style>
  <w:style w:type="character" w:customStyle="1" w:styleId="JegyzetszvegChar">
    <w:name w:val="Jegyzetszöveg Char"/>
    <w:basedOn w:val="Bekezdsalapbettpusa"/>
    <w:link w:val="Jegyzetszveg"/>
    <w:uiPriority w:val="99"/>
    <w:semiHidden/>
    <w:rsid w:val="00B17CED"/>
    <w:rPr>
      <w:rFonts w:ascii="Arial" w:hAnsi="Arial"/>
      <w:sz w:val="20"/>
      <w:szCs w:val="20"/>
    </w:rPr>
  </w:style>
  <w:style w:type="paragraph" w:styleId="Megjegyzstrgya">
    <w:name w:val="annotation subject"/>
    <w:basedOn w:val="Jegyzetszveg"/>
    <w:next w:val="Jegyzetszveg"/>
    <w:link w:val="MegjegyzstrgyaChar"/>
    <w:uiPriority w:val="99"/>
    <w:semiHidden/>
    <w:unhideWhenUsed/>
    <w:rsid w:val="00B17CED"/>
    <w:rPr>
      <w:b/>
      <w:bCs/>
    </w:rPr>
  </w:style>
  <w:style w:type="character" w:customStyle="1" w:styleId="MegjegyzstrgyaChar">
    <w:name w:val="Megjegyzés tárgya Char"/>
    <w:basedOn w:val="JegyzetszvegChar"/>
    <w:link w:val="Megjegyzstrgya"/>
    <w:uiPriority w:val="99"/>
    <w:semiHidden/>
    <w:rsid w:val="00B17CED"/>
    <w:rPr>
      <w:rFonts w:ascii="Arial" w:hAnsi="Arial"/>
      <w:b/>
      <w:bCs/>
      <w:sz w:val="20"/>
      <w:szCs w:val="20"/>
    </w:rPr>
  </w:style>
  <w:style w:type="paragraph" w:styleId="Lbjegyzetszveg">
    <w:name w:val="footnote text"/>
    <w:basedOn w:val="Norml"/>
    <w:link w:val="LbjegyzetszvegChar"/>
    <w:uiPriority w:val="99"/>
    <w:unhideWhenUsed/>
    <w:rsid w:val="00B1217E"/>
    <w:pPr>
      <w:spacing w:after="0" w:line="240" w:lineRule="auto"/>
    </w:pPr>
    <w:rPr>
      <w:sz w:val="20"/>
      <w:szCs w:val="20"/>
    </w:rPr>
  </w:style>
  <w:style w:type="character" w:customStyle="1" w:styleId="LbjegyzetszvegChar">
    <w:name w:val="Lábjegyzetszöveg Char"/>
    <w:basedOn w:val="Bekezdsalapbettpusa"/>
    <w:link w:val="Lbjegyzetszveg"/>
    <w:uiPriority w:val="99"/>
    <w:rsid w:val="00B1217E"/>
    <w:rPr>
      <w:rFonts w:ascii="Arial" w:hAnsi="Arial"/>
      <w:sz w:val="20"/>
      <w:szCs w:val="20"/>
    </w:rPr>
  </w:style>
  <w:style w:type="character" w:styleId="Lbjegyzet-hivatkozs">
    <w:name w:val="footnote reference"/>
    <w:basedOn w:val="Bekezdsalapbettpusa"/>
    <w:uiPriority w:val="99"/>
    <w:semiHidden/>
    <w:unhideWhenUsed/>
    <w:rsid w:val="00B12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069344">
      <w:bodyDiv w:val="1"/>
      <w:marLeft w:val="0"/>
      <w:marRight w:val="0"/>
      <w:marTop w:val="0"/>
      <w:marBottom w:val="0"/>
      <w:divBdr>
        <w:top w:val="none" w:sz="0" w:space="0" w:color="auto"/>
        <w:left w:val="none" w:sz="0" w:space="0" w:color="auto"/>
        <w:bottom w:val="none" w:sz="0" w:space="0" w:color="auto"/>
        <w:right w:val="none" w:sz="0" w:space="0" w:color="auto"/>
      </w:divBdr>
    </w:div>
    <w:div w:id="1783498151">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360"/>
          <w:marRight w:val="0"/>
          <w:marTop w:val="120"/>
          <w:marBottom w:val="0"/>
          <w:divBdr>
            <w:top w:val="none" w:sz="0" w:space="0" w:color="auto"/>
            <w:left w:val="none" w:sz="0" w:space="0" w:color="auto"/>
            <w:bottom w:val="none" w:sz="0" w:space="0" w:color="auto"/>
            <w:right w:val="none" w:sz="0" w:space="0" w:color="auto"/>
          </w:divBdr>
        </w:div>
        <w:div w:id="404301450">
          <w:marLeft w:val="360"/>
          <w:marRight w:val="0"/>
          <w:marTop w:val="120"/>
          <w:marBottom w:val="0"/>
          <w:divBdr>
            <w:top w:val="none" w:sz="0" w:space="0" w:color="auto"/>
            <w:left w:val="none" w:sz="0" w:space="0" w:color="auto"/>
            <w:bottom w:val="none" w:sz="0" w:space="0" w:color="auto"/>
            <w:right w:val="none" w:sz="0" w:space="0" w:color="auto"/>
          </w:divBdr>
        </w:div>
        <w:div w:id="1166438200">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90E9-13C5-423C-84D1-92A1C287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8729</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CEEGEX</dc:creator>
  <cp:lastModifiedBy>Lajtai Roland</cp:lastModifiedBy>
  <cp:revision>2</cp:revision>
  <dcterms:created xsi:type="dcterms:W3CDTF">2013-04-05T14:52:00Z</dcterms:created>
  <dcterms:modified xsi:type="dcterms:W3CDTF">2013-04-05T14:52:00Z</dcterms:modified>
</cp:coreProperties>
</file>